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page" w:tblpX="2997" w:tblpY="1588"/>
        <w:tblW w:w="36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454"/>
        <w:gridCol w:w="454"/>
        <w:gridCol w:w="454"/>
        <w:gridCol w:w="454"/>
        <w:gridCol w:w="454"/>
        <w:gridCol w:w="454"/>
        <w:gridCol w:w="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dxa"/>
            <w:shd w:val="clear" w:color="auto" w:fill="auto"/>
          </w:tcPr>
          <w:p>
            <w:pPr>
              <w:jc w:val="center"/>
            </w:pPr>
          </w:p>
        </w:tc>
        <w:tc>
          <w:tcPr>
            <w:tcW w:w="454" w:type="dxa"/>
            <w:shd w:val="clear" w:color="auto" w:fill="auto"/>
          </w:tcPr>
          <w:p>
            <w:pPr>
              <w:jc w:val="center"/>
            </w:pPr>
          </w:p>
        </w:tc>
        <w:tc>
          <w:tcPr>
            <w:tcW w:w="454" w:type="dxa"/>
            <w:shd w:val="clear" w:color="auto" w:fill="auto"/>
          </w:tcPr>
          <w:p>
            <w:pPr>
              <w:jc w:val="center"/>
            </w:pPr>
          </w:p>
        </w:tc>
        <w:tc>
          <w:tcPr>
            <w:tcW w:w="454" w:type="dxa"/>
            <w:shd w:val="clear" w:color="auto" w:fill="auto"/>
          </w:tcPr>
          <w:p>
            <w:pPr>
              <w:jc w:val="center"/>
            </w:pPr>
          </w:p>
        </w:tc>
        <w:tc>
          <w:tcPr>
            <w:tcW w:w="454" w:type="dxa"/>
            <w:shd w:val="clear" w:color="auto" w:fill="auto"/>
          </w:tcPr>
          <w:p>
            <w:pPr>
              <w:jc w:val="center"/>
            </w:pPr>
          </w:p>
        </w:tc>
        <w:tc>
          <w:tcPr>
            <w:tcW w:w="454" w:type="dxa"/>
            <w:shd w:val="clear" w:color="auto" w:fill="auto"/>
          </w:tcPr>
          <w:p>
            <w:pPr>
              <w:jc w:val="center"/>
            </w:pPr>
          </w:p>
        </w:tc>
        <w:tc>
          <w:tcPr>
            <w:tcW w:w="454" w:type="dxa"/>
            <w:shd w:val="clear" w:color="auto" w:fill="auto"/>
          </w:tcPr>
          <w:p>
            <w:pPr>
              <w:jc w:val="center"/>
            </w:pPr>
          </w:p>
        </w:tc>
        <w:tc>
          <w:tcPr>
            <w:tcW w:w="454" w:type="dxa"/>
            <w:shd w:val="clear" w:color="auto" w:fill="auto"/>
          </w:tcPr>
          <w:p>
            <w:pPr>
              <w:jc w:val="center"/>
            </w:pPr>
          </w:p>
        </w:tc>
      </w:tr>
    </w:tbl>
    <w:p>
      <w:pPr>
        <w:jc w:val="left"/>
        <w:rPr>
          <w:rFonts w:ascii="Heiti SC Medium" w:hAnsi="Heiti SC Medium" w:eastAsia="Heiti SC Medium"/>
          <w:b/>
        </w:rPr>
      </w:pPr>
      <w:r>
        <w:rPr>
          <w:rFonts w:hint="eastAsia" w:ascii="Heiti SC Medium" w:hAnsi="Heiti SC Medium" w:eastAsia="Heiti SC Medium"/>
          <w:b/>
        </w:rPr>
        <w:t>合同编号：</w:t>
      </w:r>
    </w:p>
    <w:p>
      <w:pPr>
        <w:jc w:val="center"/>
      </w:pPr>
    </w:p>
    <w:p>
      <w:pPr>
        <w:jc w:val="center"/>
      </w:pPr>
    </w:p>
    <w:p>
      <w:pPr>
        <w:jc w:val="center"/>
      </w:pPr>
    </w:p>
    <w:p>
      <w:pPr>
        <w:jc w:val="center"/>
      </w:pPr>
    </w:p>
    <w:p>
      <w:pPr>
        <w:jc w:val="center"/>
      </w:pPr>
    </w:p>
    <w:p>
      <w:pPr>
        <w:jc w:val="center"/>
        <w:rPr>
          <w:rFonts w:hint="eastAsia"/>
        </w:rPr>
      </w:pPr>
    </w:p>
    <w:p>
      <w:pPr>
        <w:jc w:val="center"/>
      </w:pPr>
    </w:p>
    <w:p>
      <w:pPr>
        <w:jc w:val="center"/>
      </w:pPr>
    </w:p>
    <w:p>
      <w:pPr>
        <w:jc w:val="center"/>
      </w:pPr>
    </w:p>
    <w:p>
      <w:pPr>
        <w:jc w:val="center"/>
      </w:pPr>
    </w:p>
    <w:p>
      <w:pPr>
        <w:jc w:val="center"/>
      </w:pPr>
    </w:p>
    <w:p>
      <w:pPr>
        <w:jc w:val="center"/>
        <w:rPr>
          <w:rFonts w:ascii="Heiti SC Medium" w:hAnsi="Heiti SC Medium" w:eastAsia="Heiti SC Medium"/>
          <w:sz w:val="72"/>
          <w:szCs w:val="72"/>
        </w:rPr>
      </w:pPr>
      <w:r>
        <w:rPr>
          <w:rFonts w:hint="eastAsia" w:ascii="Heiti SC Medium" w:hAnsi="Heiti SC Medium" w:eastAsia="Heiti SC Medium"/>
          <w:sz w:val="72"/>
          <w:szCs w:val="72"/>
        </w:rPr>
        <w:t>供 用 水 合 同</w:t>
      </w:r>
    </w:p>
    <w:p>
      <w:pPr>
        <w:rPr>
          <w:sz w:val="84"/>
          <w:szCs w:val="84"/>
        </w:rPr>
      </w:pPr>
    </w:p>
    <w:p>
      <w:pPr>
        <w:rPr>
          <w:sz w:val="84"/>
          <w:szCs w:val="84"/>
        </w:rPr>
      </w:pPr>
    </w:p>
    <w:p>
      <w:pPr>
        <w:rPr>
          <w:sz w:val="84"/>
          <w:szCs w:val="84"/>
        </w:rPr>
      </w:pPr>
    </w:p>
    <w:p>
      <w:pPr>
        <w:rPr>
          <w:sz w:val="32"/>
          <w:szCs w:val="32"/>
        </w:rPr>
      </w:pPr>
    </w:p>
    <w:p>
      <w:pPr>
        <w:rPr>
          <w:rFonts w:hint="eastAsia"/>
          <w:sz w:val="32"/>
          <w:szCs w:val="32"/>
        </w:rPr>
      </w:pPr>
    </w:p>
    <w:p>
      <w:pPr>
        <w:tabs>
          <w:tab w:val="left" w:pos="0"/>
        </w:tabs>
        <w:ind w:firstLine="1500" w:firstLineChars="500"/>
        <w:rPr>
          <w:rFonts w:asciiTheme="minorEastAsia" w:hAnsiTheme="minorEastAsia" w:eastAsiaTheme="minorEastAsia"/>
          <w:sz w:val="30"/>
          <w:szCs w:val="30"/>
        </w:rPr>
      </w:pPr>
      <w:r>
        <w:rPr>
          <w:rFonts w:hint="eastAsia" w:asciiTheme="minorEastAsia" w:hAnsiTheme="minorEastAsia" w:eastAsiaTheme="minorEastAsia"/>
          <w:sz w:val="30"/>
          <w:szCs w:val="30"/>
        </w:rPr>
        <w:t>供 水 人：</w:t>
      </w:r>
      <w:r>
        <w:rPr>
          <w:rFonts w:asciiTheme="minorEastAsia" w:hAnsiTheme="minorEastAsia" w:eastAsiaTheme="minorEastAsia"/>
          <w:sz w:val="30"/>
          <w:szCs w:val="30"/>
        </w:rPr>
        <w:t xml:space="preserve"> </w:t>
      </w:r>
      <w:r>
        <w:rPr>
          <w:rFonts w:hint="eastAsia" w:asciiTheme="minorEastAsia" w:hAnsiTheme="minorEastAsia" w:eastAsiaTheme="minorEastAsia"/>
          <w:sz w:val="30"/>
          <w:szCs w:val="30"/>
          <w:lang w:eastAsia="zh-CN"/>
        </w:rPr>
        <w:t>济南鲁中水务集团有限</w:t>
      </w:r>
      <w:r>
        <w:rPr>
          <w:rFonts w:hint="eastAsia" w:asciiTheme="minorEastAsia" w:hAnsiTheme="minorEastAsia" w:eastAsiaTheme="minorEastAsia"/>
          <w:sz w:val="30"/>
          <w:szCs w:val="30"/>
        </w:rPr>
        <w:t>公司</w:t>
      </w:r>
    </w:p>
    <w:p>
      <w:pPr>
        <w:tabs>
          <w:tab w:val="left" w:pos="0"/>
        </w:tabs>
        <w:ind w:firstLine="1500" w:firstLineChars="5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用 水 人：</w:t>
      </w:r>
      <w:r>
        <w:rPr>
          <w:rFonts w:asciiTheme="minorEastAsia" w:hAnsiTheme="minorEastAsia" w:eastAsiaTheme="minorEastAsia"/>
          <w:sz w:val="30"/>
          <w:szCs w:val="30"/>
        </w:rPr>
        <w:t xml:space="preserve"> </w:t>
      </w:r>
    </w:p>
    <w:p>
      <w:pPr>
        <w:tabs>
          <w:tab w:val="left" w:pos="0"/>
        </w:tabs>
        <w:ind w:firstLine="1500" w:firstLineChars="500"/>
        <w:rPr>
          <w:rFonts w:asciiTheme="minorEastAsia" w:hAnsiTheme="minorEastAsia" w:eastAsiaTheme="minorEastAsia"/>
          <w:sz w:val="30"/>
          <w:szCs w:val="30"/>
        </w:rPr>
      </w:pPr>
      <w:r>
        <w:rPr>
          <w:rFonts w:hint="eastAsia" w:asciiTheme="minorEastAsia" w:hAnsiTheme="minorEastAsia" w:eastAsiaTheme="minorEastAsia"/>
          <w:sz w:val="30"/>
          <w:szCs w:val="30"/>
        </w:rPr>
        <w:t>签约时间：</w:t>
      </w:r>
      <w:r>
        <w:rPr>
          <w:rFonts w:asciiTheme="minorEastAsia" w:hAnsiTheme="minorEastAsia" w:eastAsiaTheme="minorEastAsia"/>
          <w:sz w:val="30"/>
          <w:szCs w:val="30"/>
        </w:rPr>
        <w:t xml:space="preserve">    </w:t>
      </w:r>
      <w:r>
        <w:rPr>
          <w:rFonts w:hint="eastAsia" w:asciiTheme="minorEastAsia" w:hAnsiTheme="minorEastAsia" w:eastAsiaTheme="minorEastAsia"/>
          <w:sz w:val="30"/>
          <w:szCs w:val="30"/>
          <w:lang w:val="en-US" w:eastAsia="zh-CN"/>
        </w:rPr>
        <w:t xml:space="preserve">  </w:t>
      </w:r>
      <w:r>
        <w:rPr>
          <w:rFonts w:asciiTheme="minorEastAsia" w:hAnsiTheme="minorEastAsia" w:eastAsiaTheme="minorEastAsia"/>
          <w:sz w:val="30"/>
          <w:szCs w:val="30"/>
        </w:rPr>
        <w:t xml:space="preserve"> </w:t>
      </w:r>
      <w:r>
        <w:rPr>
          <w:rFonts w:hint="eastAsia" w:asciiTheme="minorEastAsia" w:hAnsiTheme="minorEastAsia" w:eastAsiaTheme="minorEastAsia"/>
          <w:sz w:val="30"/>
          <w:szCs w:val="30"/>
        </w:rPr>
        <w:t>年</w:t>
      </w:r>
      <w:r>
        <w:rPr>
          <w:rFonts w:asciiTheme="minorEastAsia" w:hAnsiTheme="minorEastAsia" w:eastAsiaTheme="minorEastAsia"/>
          <w:sz w:val="30"/>
          <w:szCs w:val="30"/>
        </w:rPr>
        <w:t xml:space="preserve">   </w:t>
      </w:r>
      <w:r>
        <w:rPr>
          <w:rFonts w:hint="eastAsia" w:asciiTheme="minorEastAsia" w:hAnsiTheme="minorEastAsia" w:eastAsiaTheme="minorEastAsia"/>
          <w:sz w:val="30"/>
          <w:szCs w:val="30"/>
        </w:rPr>
        <w:t>月</w:t>
      </w:r>
      <w:r>
        <w:rPr>
          <w:rFonts w:asciiTheme="minorEastAsia" w:hAnsiTheme="minorEastAsia" w:eastAsiaTheme="minorEastAsia"/>
          <w:sz w:val="30"/>
          <w:szCs w:val="30"/>
        </w:rPr>
        <w:t xml:space="preserve">   </w:t>
      </w:r>
      <w:r>
        <w:rPr>
          <w:rFonts w:hint="eastAsia" w:asciiTheme="minorEastAsia" w:hAnsiTheme="minorEastAsia" w:eastAsiaTheme="minorEastAsia"/>
          <w:sz w:val="30"/>
          <w:szCs w:val="30"/>
        </w:rPr>
        <w:t>日</w:t>
      </w:r>
    </w:p>
    <w:p>
      <w:pPr>
        <w:tabs>
          <w:tab w:val="left" w:pos="1550"/>
        </w:tabs>
        <w:rPr>
          <w:sz w:val="32"/>
          <w:szCs w:val="32"/>
        </w:rPr>
      </w:pPr>
    </w:p>
    <w:p>
      <w:pPr>
        <w:widowControl/>
        <w:jc w:val="left"/>
        <w:rPr>
          <w:sz w:val="32"/>
          <w:szCs w:val="32"/>
        </w:rPr>
      </w:pPr>
      <w:r>
        <w:rPr>
          <w:sz w:val="32"/>
          <w:szCs w:val="32"/>
        </w:rPr>
        <w:br w:type="page"/>
      </w:r>
    </w:p>
    <w:p>
      <w:pPr>
        <w:ind w:firstLine="480" w:firstLineChars="200"/>
        <w:rPr>
          <w:sz w:val="24"/>
        </w:rPr>
      </w:pPr>
      <w:r>
        <w:rPr>
          <w:rFonts w:hint="eastAsia"/>
          <w:sz w:val="24"/>
        </w:rPr>
        <w:t>为明确并维护供、用水双方在城市供水和用水中的权利和义务，根据《中华人民共和国</w:t>
      </w:r>
      <w:r>
        <w:rPr>
          <w:rFonts w:hint="eastAsia"/>
          <w:sz w:val="24"/>
          <w:lang w:eastAsia="zh-CN"/>
        </w:rPr>
        <w:t>民法典</w:t>
      </w:r>
      <w:r>
        <w:rPr>
          <w:rFonts w:hint="eastAsia"/>
          <w:sz w:val="24"/>
        </w:rPr>
        <w:t>》、《城市供水条例》、《</w:t>
      </w:r>
      <w:r>
        <w:rPr>
          <w:rFonts w:hint="eastAsia"/>
          <w:sz w:val="24"/>
          <w:lang w:eastAsia="zh-CN"/>
        </w:rPr>
        <w:t>济南市城市供水条例</w:t>
      </w:r>
      <w:r>
        <w:rPr>
          <w:rFonts w:hint="eastAsia"/>
          <w:sz w:val="24"/>
        </w:rPr>
        <w:t>》等法律、法规和规章，经供、用水双方协商，订立本合同。</w:t>
      </w:r>
      <w:r>
        <w:rPr>
          <w:sz w:val="24"/>
        </w:rPr>
        <w:t xml:space="preserve">     </w:t>
      </w:r>
      <w:bookmarkStart w:id="0" w:name="_GoBack"/>
      <w:bookmarkEnd w:id="0"/>
      <w:r>
        <w:rPr>
          <w:sz w:val="24"/>
        </w:rPr>
        <w:t xml:space="preserve">           </w:t>
      </w:r>
    </w:p>
    <w:p>
      <w:pPr>
        <w:numPr>
          <w:ilvl w:val="0"/>
          <w:numId w:val="1"/>
        </w:numPr>
        <w:rPr>
          <w:b/>
          <w:sz w:val="24"/>
        </w:rPr>
      </w:pPr>
      <w:r>
        <w:rPr>
          <w:rFonts w:hint="eastAsia"/>
          <w:b/>
          <w:sz w:val="24"/>
        </w:rPr>
        <w:t>用水地址、用水性质和计量器具</w:t>
      </w:r>
    </w:p>
    <w:p>
      <w:pPr>
        <w:rPr>
          <w:sz w:val="24"/>
        </w:rPr>
      </w:pPr>
      <w:r>
        <w:rPr>
          <w:rFonts w:hint="eastAsia"/>
          <w:sz w:val="24"/>
        </w:rPr>
        <w:t>（一）用水地址为</w:t>
      </w:r>
      <w:r>
        <w:rPr>
          <w:sz w:val="24"/>
          <w:u w:val="single"/>
        </w:rPr>
        <w:t xml:space="preserve">                                  </w:t>
      </w:r>
      <w:r>
        <w:rPr>
          <w:rFonts w:hint="eastAsia"/>
          <w:sz w:val="24"/>
        </w:rPr>
        <w:t>。用水四至范围（即用水区域四周边界）是</w:t>
      </w:r>
      <w:r>
        <w:rPr>
          <w:sz w:val="24"/>
        </w:rPr>
        <w:t xml:space="preserve"> </w:t>
      </w:r>
      <w:r>
        <w:rPr>
          <w:sz w:val="24"/>
          <w:u w:val="single"/>
        </w:rPr>
        <w:t xml:space="preserve">                        </w:t>
      </w:r>
      <w:r>
        <w:rPr>
          <w:rFonts w:hint="eastAsia"/>
          <w:sz w:val="24"/>
          <w:u w:val="single"/>
          <w:lang w:val="en-US" w:eastAsia="zh-CN"/>
        </w:rPr>
        <w:t xml:space="preserve">  </w:t>
      </w:r>
      <w:r>
        <w:rPr>
          <w:sz w:val="24"/>
          <w:u w:val="single"/>
        </w:rPr>
        <w:t xml:space="preserve"> </w:t>
      </w:r>
      <w:r>
        <w:rPr>
          <w:rFonts w:hint="eastAsia"/>
          <w:sz w:val="24"/>
          <w:u w:val="single"/>
          <w:lang w:val="en-US" w:eastAsia="zh-CN"/>
        </w:rPr>
        <w:t xml:space="preserve">          </w:t>
      </w:r>
      <w:r>
        <w:rPr>
          <w:rFonts w:hint="eastAsia"/>
          <w:sz w:val="24"/>
        </w:rPr>
        <w:t>。（制作详图作为附件）用水范围内共有</w:t>
      </w:r>
      <w:r>
        <w:rPr>
          <w:sz w:val="24"/>
          <w:u w:val="single"/>
        </w:rPr>
        <w:t xml:space="preserve">        </w:t>
      </w:r>
      <w:r>
        <w:rPr>
          <w:sz w:val="24"/>
        </w:rPr>
        <w:t xml:space="preserve"> </w:t>
      </w:r>
      <w:r>
        <w:rPr>
          <w:rFonts w:hint="eastAsia"/>
          <w:sz w:val="24"/>
        </w:rPr>
        <w:t>座建筑物，用水建筑面积共计</w:t>
      </w:r>
      <w:r>
        <w:rPr>
          <w:sz w:val="24"/>
          <w:u w:val="single"/>
        </w:rPr>
        <w:t xml:space="preserve">         </w:t>
      </w:r>
      <w:r>
        <w:rPr>
          <w:rFonts w:hint="eastAsia"/>
          <w:sz w:val="24"/>
        </w:rPr>
        <w:t>平方米，用水四至范围内最高建筑层数（或高度）为</w:t>
      </w:r>
      <w:r>
        <w:rPr>
          <w:sz w:val="24"/>
        </w:rPr>
        <w:t xml:space="preserve"> </w:t>
      </w:r>
      <w:r>
        <w:rPr>
          <w:sz w:val="24"/>
          <w:u w:val="single"/>
        </w:rPr>
        <w:t xml:space="preserve">           </w:t>
      </w:r>
      <w:r>
        <w:rPr>
          <w:sz w:val="24"/>
        </w:rPr>
        <w:t xml:space="preserve"> </w:t>
      </w:r>
      <w:r>
        <w:rPr>
          <w:rFonts w:hint="eastAsia"/>
          <w:sz w:val="24"/>
        </w:rPr>
        <w:t>。</w:t>
      </w:r>
    </w:p>
    <w:p>
      <w:pPr>
        <w:ind w:firstLine="480"/>
        <w:rPr>
          <w:rFonts w:hint="eastAsia"/>
          <w:sz w:val="24"/>
          <w:lang w:val="en-US" w:eastAsia="zh-CN"/>
        </w:rPr>
      </w:pPr>
      <w:r>
        <w:rPr>
          <w:rFonts w:hint="eastAsia"/>
          <w:sz w:val="24"/>
        </w:rPr>
        <w:t>（二）用水性质为</w:t>
      </w:r>
      <w:r>
        <w:rPr>
          <w:rFonts w:hint="eastAsia"/>
          <w:sz w:val="24"/>
          <w:lang w:eastAsia="zh-CN"/>
        </w:rPr>
        <w:t>（</w:t>
      </w:r>
      <w:r>
        <w:rPr>
          <w:rFonts w:hint="eastAsia"/>
          <w:sz w:val="24"/>
          <w:lang w:val="en-US" w:eastAsia="zh-CN"/>
        </w:rPr>
        <w:t xml:space="preserve"> </w:t>
      </w:r>
      <w:r>
        <w:rPr>
          <w:rFonts w:hint="eastAsia"/>
          <w:sz w:val="24"/>
          <w:lang w:eastAsia="zh-CN"/>
        </w:rPr>
        <w:t>居民生活用水</w:t>
      </w:r>
      <w:r>
        <w:rPr>
          <w:rFonts w:hint="eastAsia"/>
          <w:sz w:val="24"/>
          <w:lang w:val="en-US" w:eastAsia="zh-CN"/>
        </w:rPr>
        <w:t xml:space="preserve"> </w:t>
      </w:r>
      <w:r>
        <w:rPr>
          <w:rFonts w:hint="eastAsia"/>
          <w:sz w:val="24"/>
          <w:lang w:val="en-US" w:eastAsia="zh-CN"/>
        </w:rPr>
        <w:sym w:font="Wingdings 2" w:char="00A3"/>
      </w:r>
      <w:r>
        <w:rPr>
          <w:rFonts w:hint="eastAsia"/>
          <w:sz w:val="24"/>
          <w:lang w:val="en-US" w:eastAsia="zh-CN"/>
        </w:rPr>
        <w:t xml:space="preserve">   </w:t>
      </w:r>
      <w:r>
        <w:rPr>
          <w:rFonts w:hint="eastAsia"/>
          <w:sz w:val="24"/>
          <w:lang w:eastAsia="zh-CN"/>
        </w:rPr>
        <w:t>公益用水</w:t>
      </w:r>
      <w:r>
        <w:rPr>
          <w:rFonts w:hint="eastAsia"/>
          <w:sz w:val="24"/>
          <w:lang w:val="en-US" w:eastAsia="zh-CN"/>
        </w:rPr>
        <w:t xml:space="preserve"> </w:t>
      </w:r>
      <w:r>
        <w:rPr>
          <w:rFonts w:hint="eastAsia"/>
          <w:sz w:val="24"/>
          <w:lang w:val="en-US" w:eastAsia="zh-CN"/>
        </w:rPr>
        <w:sym w:font="Wingdings 2" w:char="00A3"/>
      </w:r>
      <w:r>
        <w:rPr>
          <w:rFonts w:hint="eastAsia"/>
          <w:sz w:val="24"/>
          <w:lang w:val="en-US" w:eastAsia="zh-CN"/>
        </w:rPr>
        <w:t xml:space="preserve">  </w:t>
      </w:r>
      <w:r>
        <w:rPr>
          <w:rFonts w:hint="eastAsia"/>
          <w:sz w:val="24"/>
          <w:lang w:eastAsia="zh-CN"/>
        </w:rPr>
        <w:t>非居民用水</w:t>
      </w:r>
      <w:r>
        <w:rPr>
          <w:rFonts w:hint="eastAsia"/>
          <w:sz w:val="24"/>
          <w:lang w:val="en-US" w:eastAsia="zh-CN"/>
        </w:rPr>
        <w:t xml:space="preserve"> </w:t>
      </w:r>
      <w:r>
        <w:rPr>
          <w:rFonts w:hint="eastAsia"/>
          <w:sz w:val="24"/>
          <w:lang w:val="en-US" w:eastAsia="zh-CN"/>
        </w:rPr>
        <w:sym w:font="Wingdings 2" w:char="00A3"/>
      </w:r>
      <w:r>
        <w:rPr>
          <w:rFonts w:hint="eastAsia"/>
          <w:sz w:val="24"/>
          <w:lang w:val="en-US" w:eastAsia="zh-CN"/>
        </w:rPr>
        <w:t xml:space="preserve"> </w:t>
      </w:r>
    </w:p>
    <w:p>
      <w:pPr>
        <w:rPr>
          <w:sz w:val="24"/>
        </w:rPr>
      </w:pPr>
      <w:r>
        <w:rPr>
          <w:rFonts w:hint="eastAsia"/>
          <w:sz w:val="24"/>
          <w:lang w:eastAsia="zh-CN"/>
        </w:rPr>
        <w:t>特种用水</w:t>
      </w:r>
      <w:r>
        <w:rPr>
          <w:rFonts w:hint="eastAsia"/>
          <w:sz w:val="24"/>
          <w:lang w:val="en-US" w:eastAsia="zh-CN"/>
        </w:rPr>
        <w:t xml:space="preserve"> </w:t>
      </w:r>
      <w:r>
        <w:rPr>
          <w:rFonts w:hint="eastAsia"/>
          <w:sz w:val="24"/>
          <w:lang w:val="en-US" w:eastAsia="zh-CN"/>
        </w:rPr>
        <w:sym w:font="Wingdings 2" w:char="00A3"/>
      </w:r>
      <w:r>
        <w:rPr>
          <w:rFonts w:hint="eastAsia"/>
          <w:sz w:val="24"/>
          <w:lang w:eastAsia="zh-CN"/>
        </w:rPr>
        <w:t>）</w:t>
      </w:r>
      <w:r>
        <w:rPr>
          <w:rFonts w:hint="eastAsia"/>
          <w:sz w:val="24"/>
        </w:rPr>
        <w:t>，供水价格</w:t>
      </w:r>
      <w:r>
        <w:rPr>
          <w:rFonts w:hint="eastAsia"/>
          <w:sz w:val="24"/>
          <w:lang w:eastAsia="zh-CN"/>
        </w:rPr>
        <w:t>严格按照物价部门规定</w:t>
      </w:r>
      <w:r>
        <w:rPr>
          <w:rFonts w:hint="eastAsia"/>
          <w:sz w:val="24"/>
        </w:rPr>
        <w:t>执行（如遇物价部门调整水价时，按照调价文件执行）。</w:t>
      </w:r>
    </w:p>
    <w:p>
      <w:pPr>
        <w:ind w:firstLine="480"/>
        <w:rPr>
          <w:sz w:val="24"/>
        </w:rPr>
      </w:pPr>
      <w:r>
        <w:rPr>
          <w:rFonts w:hint="eastAsia"/>
          <w:sz w:val="24"/>
        </w:rPr>
        <w:t>（三）安装贸易结算水表类型为</w:t>
      </w:r>
      <w:r>
        <w:rPr>
          <w:sz w:val="24"/>
        </w:rPr>
        <w:t xml:space="preserve"> </w:t>
      </w:r>
      <w:r>
        <w:rPr>
          <w:sz w:val="24"/>
          <w:u w:val="single"/>
        </w:rPr>
        <w:t xml:space="preserve">                  </w:t>
      </w:r>
      <w:r>
        <w:rPr>
          <w:sz w:val="24"/>
        </w:rPr>
        <w:t xml:space="preserve"> </w:t>
      </w:r>
      <w:r>
        <w:rPr>
          <w:rFonts w:hint="eastAsia"/>
          <w:sz w:val="24"/>
        </w:rPr>
        <w:t>计量水表或流量仪。水表口径为</w:t>
      </w:r>
      <w:r>
        <w:rPr>
          <w:sz w:val="24"/>
          <w:u w:val="single"/>
        </w:rPr>
        <w:t xml:space="preserve">     </w:t>
      </w:r>
      <w:r>
        <w:rPr>
          <w:rFonts w:hint="eastAsia"/>
          <w:sz w:val="24"/>
        </w:rPr>
        <w:t>，安装地点为</w:t>
      </w:r>
      <w:r>
        <w:rPr>
          <w:sz w:val="24"/>
        </w:rPr>
        <w:t xml:space="preserve"> </w:t>
      </w:r>
      <w:r>
        <w:rPr>
          <w:sz w:val="24"/>
          <w:u w:val="single"/>
        </w:rPr>
        <w:t xml:space="preserve">                     </w:t>
      </w:r>
      <w:r>
        <w:rPr>
          <w:rFonts w:hint="eastAsia"/>
          <w:sz w:val="24"/>
        </w:rPr>
        <w:t>（可制作详图作为附件）。</w:t>
      </w:r>
    </w:p>
    <w:p>
      <w:pPr>
        <w:ind w:firstLine="480"/>
        <w:rPr>
          <w:b/>
          <w:sz w:val="24"/>
        </w:rPr>
      </w:pPr>
      <w:r>
        <w:rPr>
          <w:rFonts w:hint="eastAsia"/>
          <w:b/>
          <w:sz w:val="24"/>
        </w:rPr>
        <w:t>第二条</w:t>
      </w:r>
      <w:r>
        <w:rPr>
          <w:b/>
          <w:sz w:val="24"/>
        </w:rPr>
        <w:t xml:space="preserve"> </w:t>
      </w:r>
      <w:r>
        <w:rPr>
          <w:rFonts w:hint="eastAsia"/>
          <w:b/>
          <w:sz w:val="24"/>
        </w:rPr>
        <w:t>用水计量、水费结算方式</w:t>
      </w:r>
    </w:p>
    <w:p>
      <w:pPr>
        <w:rPr>
          <w:sz w:val="24"/>
        </w:rPr>
      </w:pPr>
      <w:r>
        <w:rPr>
          <w:sz w:val="24"/>
        </w:rPr>
        <w:t xml:space="preserve">   </w:t>
      </w:r>
      <w:r>
        <w:rPr>
          <w:rFonts w:hint="eastAsia"/>
          <w:sz w:val="24"/>
        </w:rPr>
        <w:t>（一）用水计量</w:t>
      </w:r>
    </w:p>
    <w:p>
      <w:pPr>
        <w:ind w:firstLine="480"/>
        <w:rPr>
          <w:sz w:val="24"/>
        </w:rPr>
      </w:pPr>
      <w:r>
        <w:rPr>
          <w:sz w:val="24"/>
        </w:rPr>
        <w:t>1</w:t>
      </w:r>
      <w:r>
        <w:rPr>
          <w:rFonts w:hint="eastAsia"/>
          <w:sz w:val="24"/>
        </w:rPr>
        <w:t>、供、用水双方按照本合同中注册登记的贸易结算水表计量的水量作为水费结算的依据。贸易结算水表须经自来水公司或当地技术监督部门鉴定合格。</w:t>
      </w:r>
    </w:p>
    <w:p>
      <w:pPr>
        <w:ind w:firstLine="480"/>
        <w:rPr>
          <w:sz w:val="24"/>
        </w:rPr>
      </w:pPr>
      <w:r>
        <w:rPr>
          <w:sz w:val="24"/>
        </w:rPr>
        <w:t>2</w:t>
      </w:r>
      <w:r>
        <w:rPr>
          <w:rFonts w:hint="eastAsia"/>
          <w:sz w:val="24"/>
        </w:rPr>
        <w:t>、用水人用水按照用水性质实行分类计量。不同性质的用水共用一具贸易结算水表时，用水人应按规定向供水人申请分装水表，实行分表计量。经供水人确认暂不具备实施分装水表条件的，应签订二级结算水表协议或混合用水协议，按照实际计量或协议约定的不同性质用水量的分配比例分别计价收费；用水比例发生变化时，应重新核定不同性质用水分配比例；未签订二级结算表协议或混合用水协议的，供水人按照最高类别用水性质的水价计收水费。</w:t>
      </w:r>
    </w:p>
    <w:p>
      <w:pPr>
        <w:rPr>
          <w:sz w:val="24"/>
        </w:rPr>
      </w:pPr>
      <w:r>
        <w:rPr>
          <w:sz w:val="24"/>
        </w:rPr>
        <w:t xml:space="preserve">   </w:t>
      </w:r>
      <w:r>
        <w:rPr>
          <w:rFonts w:hint="eastAsia"/>
          <w:sz w:val="24"/>
        </w:rPr>
        <w:t>（二）水费结算方式</w:t>
      </w:r>
    </w:p>
    <w:p>
      <w:pPr>
        <w:ind w:firstLine="480"/>
        <w:rPr>
          <w:sz w:val="24"/>
        </w:rPr>
      </w:pPr>
      <w:r>
        <w:rPr>
          <w:sz w:val="24"/>
        </w:rPr>
        <w:t>1</w:t>
      </w:r>
      <w:r>
        <w:rPr>
          <w:rFonts w:hint="eastAsia"/>
          <w:sz w:val="24"/>
        </w:rPr>
        <w:t>、供水人按照规定抄表周期抄验贸易结算水表并计收水费。水费结算采取月结方式，用水人应在当月</w:t>
      </w:r>
      <w:r>
        <w:rPr>
          <w:sz w:val="24"/>
        </w:rPr>
        <w:t>25</w:t>
      </w:r>
      <w:r>
        <w:rPr>
          <w:rFonts w:hint="eastAsia"/>
          <w:sz w:val="24"/>
        </w:rPr>
        <w:t>日前缴清水费。用水人如对当月用水量有异议时，应在当期缴费期限内向供水人提出书面申请，由供用水双方共同复核水表，如逾期未提出书面申请，视为用水人对抄录的水表计量数据无异议。</w:t>
      </w:r>
    </w:p>
    <w:p>
      <w:pPr>
        <w:ind w:firstLine="480"/>
        <w:rPr>
          <w:sz w:val="24"/>
        </w:rPr>
      </w:pPr>
      <w:r>
        <w:rPr>
          <w:sz w:val="24"/>
        </w:rPr>
        <w:t>2</w:t>
      </w:r>
      <w:r>
        <w:rPr>
          <w:rFonts w:hint="eastAsia"/>
          <w:sz w:val="24"/>
        </w:rPr>
        <w:t>、用水人缴纳水费选取</w:t>
      </w:r>
      <w:r>
        <w:rPr>
          <w:sz w:val="24"/>
        </w:rPr>
        <w:t xml:space="preserve"> </w:t>
      </w:r>
      <w:r>
        <w:rPr>
          <w:sz w:val="24"/>
          <w:u w:val="single"/>
        </w:rPr>
        <w:t xml:space="preserve">                 </w:t>
      </w:r>
      <w:r>
        <w:rPr>
          <w:rFonts w:hint="eastAsia"/>
          <w:sz w:val="24"/>
        </w:rPr>
        <w:t>方式。</w:t>
      </w:r>
    </w:p>
    <w:p>
      <w:pPr>
        <w:ind w:firstLine="480"/>
        <w:rPr>
          <w:sz w:val="24"/>
        </w:rPr>
      </w:pPr>
      <w:r>
        <w:rPr>
          <w:rFonts w:hint="eastAsia"/>
          <w:b/>
          <w:sz w:val="24"/>
        </w:rPr>
        <w:t>第三条</w:t>
      </w:r>
      <w:r>
        <w:rPr>
          <w:b/>
          <w:sz w:val="24"/>
        </w:rPr>
        <w:t xml:space="preserve"> </w:t>
      </w:r>
      <w:r>
        <w:rPr>
          <w:rFonts w:hint="eastAsia"/>
          <w:b/>
          <w:sz w:val="24"/>
        </w:rPr>
        <w:t>供、用水设施产权分界与维护管理</w:t>
      </w:r>
    </w:p>
    <w:p>
      <w:pPr>
        <w:ind w:firstLine="360" w:firstLineChars="150"/>
        <w:rPr>
          <w:sz w:val="24"/>
        </w:rPr>
      </w:pPr>
      <w:r>
        <w:rPr>
          <w:rFonts w:hint="eastAsia"/>
          <w:sz w:val="24"/>
        </w:rPr>
        <w:t>（一）供、用水设施产权分界点是：供水人设计安装的注册贸易结算水表处。</w:t>
      </w:r>
    </w:p>
    <w:p>
      <w:pPr>
        <w:ind w:firstLine="360" w:firstLineChars="150"/>
        <w:rPr>
          <w:sz w:val="24"/>
        </w:rPr>
      </w:pPr>
      <w:r>
        <w:rPr>
          <w:rFonts w:hint="eastAsia"/>
          <w:sz w:val="24"/>
        </w:rPr>
        <w:t>（二）产权分界点水源侧（含贸易结算水表）的管道和附属设施由供水人负责维护管理；用水人一侧的用水管道及设施（含水表井室、井盖及用水管道）由用水人负责维护管理。</w:t>
      </w:r>
    </w:p>
    <w:p>
      <w:pPr>
        <w:ind w:firstLine="360" w:firstLineChars="150"/>
        <w:rPr>
          <w:sz w:val="24"/>
        </w:rPr>
      </w:pPr>
      <w:r>
        <w:rPr>
          <w:rFonts w:hint="eastAsia"/>
          <w:sz w:val="24"/>
        </w:rPr>
        <w:t>（三）用水人不得擅自改动、拆卸供用水的供用设施。需要改动、拆卸的，必须经供水人同意，费用由用水人承担。</w:t>
      </w:r>
    </w:p>
    <w:p>
      <w:pPr>
        <w:ind w:firstLine="360" w:firstLineChars="150"/>
        <w:rPr>
          <w:sz w:val="24"/>
        </w:rPr>
      </w:pPr>
      <w:r>
        <w:rPr>
          <w:rFonts w:hint="eastAsia"/>
          <w:sz w:val="24"/>
        </w:rPr>
        <w:t>贸易结算水表在用水人室内的，属供水人产权的室内供水设施如因外力造成损坏，用水人应及时通知供水人，供水人及时抢修，费用由用水人承担，因未及时通知供水人维修造成的其它损失由用水人承担。</w:t>
      </w:r>
    </w:p>
    <w:p>
      <w:pPr>
        <w:numPr>
          <w:ilvl w:val="0"/>
          <w:numId w:val="2"/>
        </w:numPr>
        <w:ind w:firstLine="360" w:firstLineChars="150"/>
        <w:rPr>
          <w:rFonts w:hint="eastAsia"/>
          <w:sz w:val="24"/>
        </w:rPr>
      </w:pPr>
      <w:r>
        <w:rPr>
          <w:rFonts w:hint="eastAsia"/>
          <w:sz w:val="24"/>
        </w:rPr>
        <w:t>产权分界点水源一侧供水设施漏水造成的损失由供水人承担，用水人一侧的供水设施漏水造成的损失由用水人承担。</w:t>
      </w:r>
    </w:p>
    <w:p>
      <w:pPr>
        <w:numPr>
          <w:ilvl w:val="0"/>
          <w:numId w:val="2"/>
        </w:numPr>
        <w:ind w:firstLine="360" w:firstLineChars="150"/>
        <w:rPr>
          <w:rFonts w:hint="eastAsia"/>
          <w:color w:val="auto"/>
          <w:sz w:val="24"/>
        </w:rPr>
      </w:pPr>
      <w:r>
        <w:rPr>
          <w:rFonts w:hint="eastAsia"/>
          <w:color w:val="auto"/>
          <w:sz w:val="24"/>
        </w:rPr>
        <w:t>用水人因建筑物高度或者地理位置对水压、水质要求超过供水人直接供水条件的，应当配套建设二次供水设施。用水人需要不间断用水或者对水压、水质有特殊需求的，用水人应当投资建设二次供水设施（贮水、间接加压设施及水处理设备）。</w:t>
      </w:r>
    </w:p>
    <w:p>
      <w:pPr>
        <w:ind w:firstLine="480"/>
        <w:rPr>
          <w:rFonts w:hint="eastAsia"/>
          <w:b/>
          <w:sz w:val="24"/>
        </w:rPr>
      </w:pPr>
      <w:r>
        <w:rPr>
          <w:rFonts w:hint="eastAsia"/>
          <w:b/>
          <w:sz w:val="24"/>
        </w:rPr>
        <w:t>第四条 供水人的权利和义务</w:t>
      </w:r>
    </w:p>
    <w:p>
      <w:pPr>
        <w:numPr>
          <w:ilvl w:val="0"/>
          <w:numId w:val="3"/>
        </w:numPr>
        <w:rPr>
          <w:sz w:val="24"/>
        </w:rPr>
      </w:pPr>
      <w:r>
        <w:rPr>
          <w:rFonts w:hint="eastAsia"/>
          <w:sz w:val="24"/>
        </w:rPr>
        <w:t>在本合同有效期内，供水人依据本合同约定向用水人供水。</w:t>
      </w:r>
    </w:p>
    <w:p>
      <w:pPr>
        <w:numPr>
          <w:ilvl w:val="0"/>
          <w:numId w:val="3"/>
        </w:numPr>
        <w:rPr>
          <w:sz w:val="24"/>
        </w:rPr>
      </w:pPr>
      <w:r>
        <w:rPr>
          <w:rFonts w:hint="eastAsia"/>
          <w:sz w:val="24"/>
        </w:rPr>
        <w:t>供水人应保证城市公共供水管网水水质符合国家《生活饮用水卫生标</w:t>
      </w:r>
    </w:p>
    <w:p>
      <w:pPr>
        <w:rPr>
          <w:rFonts w:hint="eastAsia" w:eastAsia="宋体"/>
          <w:sz w:val="24"/>
          <w:lang w:eastAsia="zh-CN"/>
        </w:rPr>
      </w:pPr>
      <w:r>
        <w:rPr>
          <w:rFonts w:hint="eastAsia"/>
          <w:sz w:val="24"/>
        </w:rPr>
        <w:t>准》</w:t>
      </w:r>
      <w:r>
        <w:rPr>
          <w:rFonts w:hint="eastAsia"/>
          <w:sz w:val="24"/>
          <w:lang w:eastAsia="zh-CN"/>
        </w:rPr>
        <w:t>；保证公共供水管网末梢水压不低于国家标准</w:t>
      </w:r>
      <w:r>
        <w:rPr>
          <w:rFonts w:hint="eastAsia"/>
          <w:color w:val="FF0000"/>
          <w:sz w:val="24"/>
          <w:lang w:eastAsia="zh-CN"/>
        </w:rPr>
        <w:t>。</w:t>
      </w:r>
    </w:p>
    <w:p>
      <w:pPr>
        <w:numPr>
          <w:ilvl w:val="0"/>
          <w:numId w:val="3"/>
        </w:numPr>
        <w:rPr>
          <w:sz w:val="24"/>
        </w:rPr>
      </w:pPr>
      <w:r>
        <w:rPr>
          <w:rFonts w:hint="eastAsia"/>
          <w:sz w:val="24"/>
        </w:rPr>
        <w:t>监督用水人按照合同约定的用水量、用水性质、用水四至范围、建筑</w:t>
      </w:r>
    </w:p>
    <w:p>
      <w:pPr>
        <w:rPr>
          <w:sz w:val="24"/>
        </w:rPr>
      </w:pPr>
      <w:r>
        <w:rPr>
          <w:rFonts w:hint="eastAsia"/>
          <w:sz w:val="24"/>
        </w:rPr>
        <w:t>面积范围和约定的供水建筑高度用水。</w:t>
      </w:r>
    </w:p>
    <w:p>
      <w:pPr>
        <w:numPr>
          <w:ilvl w:val="0"/>
          <w:numId w:val="3"/>
        </w:numPr>
        <w:rPr>
          <w:sz w:val="24"/>
        </w:rPr>
      </w:pPr>
      <w:r>
        <w:rPr>
          <w:rFonts w:hint="eastAsia"/>
          <w:sz w:val="24"/>
        </w:rPr>
        <w:t>用水人逾期不缴纳水费，供水人有权责令其限期补交并加收违约金。</w:t>
      </w:r>
    </w:p>
    <w:p>
      <w:pPr>
        <w:numPr>
          <w:ilvl w:val="0"/>
          <w:numId w:val="3"/>
        </w:numPr>
        <w:rPr>
          <w:sz w:val="24"/>
        </w:rPr>
      </w:pPr>
      <w:r>
        <w:rPr>
          <w:rFonts w:hint="eastAsia"/>
          <w:sz w:val="24"/>
        </w:rPr>
        <w:t>用水人因拆迁或其他原因不再使用贸易结算水表和供水设施，又没有</w:t>
      </w:r>
    </w:p>
    <w:p>
      <w:pPr>
        <w:rPr>
          <w:sz w:val="24"/>
        </w:rPr>
      </w:pPr>
      <w:r>
        <w:rPr>
          <w:rFonts w:hint="eastAsia"/>
          <w:sz w:val="24"/>
        </w:rPr>
        <w:t>办理过户、销户或报停手续，时间超过三个月的，供水人有权拆除其贸易结算水表和供水设施，予以销户。</w:t>
      </w:r>
    </w:p>
    <w:p>
      <w:pPr>
        <w:rPr>
          <w:sz w:val="24"/>
          <w:u w:val="single"/>
        </w:rPr>
      </w:pPr>
      <w:r>
        <w:rPr>
          <w:sz w:val="24"/>
        </w:rPr>
        <w:t xml:space="preserve">   </w:t>
      </w:r>
      <w:r>
        <w:rPr>
          <w:rFonts w:hint="eastAsia"/>
          <w:sz w:val="24"/>
        </w:rPr>
        <w:t>（六）因用水人表井占压、损坏及用水人责任等原因致使供水人不能抄录水表时，供水人应书面通知用水人在一个月内进行整治，并可根据下列第</w:t>
      </w:r>
      <w:r>
        <w:rPr>
          <w:sz w:val="24"/>
          <w:u w:val="single"/>
        </w:rPr>
        <w:t xml:space="preserve">     </w:t>
      </w:r>
    </w:p>
    <w:p>
      <w:pPr>
        <w:rPr>
          <w:sz w:val="24"/>
        </w:rPr>
      </w:pPr>
      <w:r>
        <w:rPr>
          <w:rFonts w:hint="eastAsia"/>
          <w:sz w:val="24"/>
        </w:rPr>
        <w:t>种方式估算用水人当期水量及水费。</w:t>
      </w:r>
      <w:r>
        <w:rPr>
          <w:sz w:val="24"/>
        </w:rPr>
        <w:t xml:space="preserve">    </w:t>
      </w:r>
    </w:p>
    <w:p>
      <w:pPr>
        <w:ind w:firstLine="480"/>
        <w:rPr>
          <w:sz w:val="24"/>
        </w:rPr>
      </w:pPr>
      <w:r>
        <w:rPr>
          <w:sz w:val="24"/>
        </w:rPr>
        <w:t>1</w:t>
      </w:r>
      <w:r>
        <w:rPr>
          <w:rFonts w:hint="eastAsia"/>
          <w:sz w:val="24"/>
        </w:rPr>
        <w:t>、用水人前三个月的平均用水量；</w:t>
      </w:r>
    </w:p>
    <w:p>
      <w:pPr>
        <w:ind w:firstLine="480"/>
        <w:rPr>
          <w:sz w:val="24"/>
        </w:rPr>
      </w:pPr>
      <w:r>
        <w:rPr>
          <w:sz w:val="24"/>
        </w:rPr>
        <w:t>2</w:t>
      </w:r>
      <w:r>
        <w:rPr>
          <w:rFonts w:hint="eastAsia"/>
          <w:sz w:val="24"/>
        </w:rPr>
        <w:t>、用水人上年同期用水量。</w:t>
      </w:r>
    </w:p>
    <w:p>
      <w:pPr>
        <w:ind w:firstLine="480"/>
        <w:rPr>
          <w:sz w:val="24"/>
        </w:rPr>
      </w:pPr>
      <w:r>
        <w:rPr>
          <w:rFonts w:hint="eastAsia"/>
          <w:sz w:val="24"/>
        </w:rPr>
        <w:t>因用水人逾期未进行整改而妨碍抄表，供水人因估算水量产生的多估水费，供水人不予退还。</w:t>
      </w:r>
    </w:p>
    <w:p>
      <w:pPr>
        <w:numPr>
          <w:ilvl w:val="0"/>
          <w:numId w:val="4"/>
        </w:numPr>
        <w:rPr>
          <w:color w:val="auto"/>
          <w:sz w:val="24"/>
        </w:rPr>
      </w:pPr>
      <w:r>
        <w:rPr>
          <w:rFonts w:hint="eastAsia"/>
          <w:color w:val="auto"/>
          <w:sz w:val="24"/>
        </w:rPr>
        <w:t>对有计划的检修、维修及新管并网作业施工需要停水的，供水人应提前</w:t>
      </w:r>
      <w:r>
        <w:rPr>
          <w:color w:val="auto"/>
          <w:sz w:val="24"/>
        </w:rPr>
        <w:t>24</w:t>
      </w:r>
      <w:r>
        <w:rPr>
          <w:rFonts w:hint="eastAsia"/>
          <w:color w:val="auto"/>
          <w:sz w:val="24"/>
        </w:rPr>
        <w:t>小时通知用水人。</w:t>
      </w:r>
    </w:p>
    <w:p>
      <w:pPr>
        <w:numPr>
          <w:ilvl w:val="0"/>
          <w:numId w:val="4"/>
        </w:numPr>
        <w:rPr>
          <w:sz w:val="24"/>
        </w:rPr>
      </w:pPr>
      <w:r>
        <w:rPr>
          <w:rFonts w:hint="eastAsia"/>
          <w:sz w:val="24"/>
        </w:rPr>
        <w:t>供水人设立专门服务电话，全天（</w:t>
      </w:r>
      <w:r>
        <w:rPr>
          <w:sz w:val="24"/>
        </w:rPr>
        <w:t>24</w:t>
      </w:r>
      <w:r>
        <w:rPr>
          <w:rFonts w:hint="eastAsia"/>
          <w:sz w:val="24"/>
        </w:rPr>
        <w:t>小时）受理用户的供水咨询、求助和投诉。</w:t>
      </w:r>
    </w:p>
    <w:p>
      <w:pPr>
        <w:numPr>
          <w:ilvl w:val="0"/>
          <w:numId w:val="4"/>
        </w:numPr>
        <w:rPr>
          <w:sz w:val="24"/>
        </w:rPr>
      </w:pPr>
      <w:r>
        <w:rPr>
          <w:rFonts w:hint="eastAsia"/>
          <w:sz w:val="24"/>
        </w:rPr>
        <w:t>如供水人需要变更抄录水表和收费周期时，应当提前一周通知用水人。</w:t>
      </w:r>
      <w:r>
        <w:rPr>
          <w:sz w:val="24"/>
        </w:rPr>
        <w:t xml:space="preserve"> </w:t>
      </w:r>
    </w:p>
    <w:p>
      <w:pPr>
        <w:numPr>
          <w:ilvl w:val="0"/>
          <w:numId w:val="4"/>
        </w:numPr>
        <w:rPr>
          <w:sz w:val="24"/>
        </w:rPr>
      </w:pPr>
      <w:r>
        <w:rPr>
          <w:rFonts w:hint="eastAsia"/>
          <w:sz w:val="24"/>
        </w:rPr>
        <w:t>供水人按照国家规定对贸易结算水表实施周期检定。用水人对贸易结</w:t>
      </w:r>
    </w:p>
    <w:p>
      <w:pPr>
        <w:rPr>
          <w:sz w:val="24"/>
        </w:rPr>
      </w:pPr>
      <w:r>
        <w:rPr>
          <w:rFonts w:hint="eastAsia"/>
          <w:sz w:val="24"/>
        </w:rPr>
        <w:t>算水表计量提出异议的，可由供、用水双方委托国家法定计量检定机构检测，校验结果正常的，校验费用由用水人承担。</w:t>
      </w:r>
    </w:p>
    <w:p>
      <w:pPr>
        <w:ind w:firstLine="480"/>
        <w:rPr>
          <w:sz w:val="24"/>
        </w:rPr>
      </w:pPr>
      <w:r>
        <w:rPr>
          <w:rFonts w:hint="eastAsia"/>
          <w:sz w:val="24"/>
        </w:rPr>
        <w:t>对贸易结算水表因自然损坏或质量问题造成计量不准的，在质保期内供水人应当无偿更换，校验费用由供水人承担。</w:t>
      </w:r>
    </w:p>
    <w:p>
      <w:pPr>
        <w:ind w:firstLine="480"/>
        <w:rPr>
          <w:sz w:val="24"/>
        </w:rPr>
      </w:pPr>
      <w:r>
        <w:rPr>
          <w:rFonts w:hint="eastAsia"/>
          <w:sz w:val="24"/>
        </w:rPr>
        <w:t>水表故障或异议期间，供水人可根据上年同期用水量、前三个月平均用水量或新装水表计量水量合理确定用水人当期水量及水费。</w:t>
      </w:r>
    </w:p>
    <w:p>
      <w:pPr>
        <w:ind w:firstLine="360" w:firstLineChars="150"/>
        <w:rPr>
          <w:sz w:val="24"/>
        </w:rPr>
      </w:pPr>
      <w:r>
        <w:rPr>
          <w:rFonts w:hint="eastAsia"/>
          <w:sz w:val="24"/>
        </w:rPr>
        <w:t>（十一）在合同约定的用水建筑面积、用水四至范围和供水人供水的建筑高度不增加的前提下，用水人用水量发生变化，连续三个月超过水表公称流量或低于水表始动流量时，供水人应根据用水人的实际用水量变更适宜口径的水表。</w:t>
      </w:r>
    </w:p>
    <w:p>
      <w:pPr>
        <w:rPr>
          <w:sz w:val="24"/>
        </w:rPr>
      </w:pPr>
      <w:r>
        <w:rPr>
          <w:sz w:val="24"/>
        </w:rPr>
        <w:t xml:space="preserve">   </w:t>
      </w:r>
      <w:r>
        <w:rPr>
          <w:rFonts w:hint="eastAsia"/>
          <w:sz w:val="24"/>
        </w:rPr>
        <w:t>（十二）用水人对拟建项目的用水情况进行说明，为保障城市供水安全，对已有自备井水源的用水人暂缓开口接水。</w:t>
      </w:r>
    </w:p>
    <w:p>
      <w:pPr>
        <w:rPr>
          <w:sz w:val="24"/>
        </w:rPr>
      </w:pPr>
      <w:r>
        <w:rPr>
          <w:sz w:val="24"/>
        </w:rPr>
        <w:t xml:space="preserve">   </w:t>
      </w:r>
      <w:r>
        <w:rPr>
          <w:rFonts w:hint="eastAsia"/>
          <w:sz w:val="24"/>
        </w:rPr>
        <w:t>（十三）项目建设过程中，</w:t>
      </w:r>
      <w:r>
        <w:rPr>
          <w:rFonts w:hint="eastAsia"/>
          <w:sz w:val="24"/>
          <w:lang w:eastAsia="zh-CN"/>
        </w:rPr>
        <w:t>供水人</w:t>
      </w:r>
      <w:r>
        <w:rPr>
          <w:rFonts w:hint="eastAsia"/>
          <w:sz w:val="24"/>
        </w:rPr>
        <w:t>按照相关要求对该项目的用水情况进行监督，发现用水人使用自备井，为防止造成水质污染、保障城市供水安全，</w:t>
      </w:r>
      <w:r>
        <w:rPr>
          <w:rFonts w:hint="eastAsia"/>
          <w:sz w:val="24"/>
          <w:lang w:eastAsia="zh-CN"/>
        </w:rPr>
        <w:t>供水人</w:t>
      </w:r>
      <w:r>
        <w:rPr>
          <w:rFonts w:hint="eastAsia"/>
          <w:sz w:val="24"/>
        </w:rPr>
        <w:t>将暂停供水，造成的一切损失由用水人承担。</w:t>
      </w:r>
    </w:p>
    <w:p>
      <w:pPr>
        <w:rPr>
          <w:sz w:val="24"/>
        </w:rPr>
      </w:pPr>
      <w:r>
        <w:rPr>
          <w:sz w:val="24"/>
        </w:rPr>
        <w:t xml:space="preserve">  </w:t>
      </w:r>
      <w:r>
        <w:rPr>
          <w:b/>
          <w:sz w:val="24"/>
        </w:rPr>
        <w:t xml:space="preserve"> </w:t>
      </w:r>
      <w:r>
        <w:rPr>
          <w:rFonts w:hint="eastAsia"/>
          <w:b/>
          <w:sz w:val="24"/>
        </w:rPr>
        <w:t>第五条</w:t>
      </w:r>
      <w:r>
        <w:rPr>
          <w:b/>
          <w:sz w:val="24"/>
        </w:rPr>
        <w:t xml:space="preserve"> </w:t>
      </w:r>
      <w:r>
        <w:rPr>
          <w:rFonts w:hint="eastAsia"/>
          <w:b/>
          <w:sz w:val="24"/>
        </w:rPr>
        <w:t>用水人的权利和义务</w:t>
      </w:r>
    </w:p>
    <w:p>
      <w:pPr>
        <w:numPr>
          <w:ilvl w:val="0"/>
          <w:numId w:val="5"/>
        </w:numPr>
        <w:tabs>
          <w:tab w:val="left" w:pos="0"/>
          <w:tab w:val="clear" w:pos="1080"/>
        </w:tabs>
        <w:ind w:left="0" w:leftChars="0" w:firstLine="0" w:firstLineChars="0"/>
        <w:rPr>
          <w:sz w:val="24"/>
        </w:rPr>
      </w:pPr>
      <w:r>
        <w:rPr>
          <w:rFonts w:hint="eastAsia"/>
          <w:sz w:val="24"/>
        </w:rPr>
        <w:t>用水人需要供水人供水的，应在本合同签订前向</w:t>
      </w:r>
      <w:r>
        <w:rPr>
          <w:rFonts w:hint="eastAsia"/>
          <w:sz w:val="24"/>
          <w:lang w:eastAsia="zh-CN"/>
        </w:rPr>
        <w:t>供水人</w:t>
      </w:r>
      <w:r>
        <w:rPr>
          <w:rFonts w:hint="eastAsia"/>
          <w:sz w:val="24"/>
        </w:rPr>
        <w:t>缴纳供水管网建设费。</w:t>
      </w:r>
    </w:p>
    <w:p>
      <w:pPr>
        <w:ind w:firstLine="480" w:firstLineChars="200"/>
        <w:rPr>
          <w:sz w:val="24"/>
        </w:rPr>
      </w:pPr>
      <w:r>
        <w:rPr>
          <w:rFonts w:hint="eastAsia"/>
          <w:sz w:val="24"/>
          <w:lang w:eastAsia="zh-CN"/>
        </w:rPr>
        <w:t>（二）</w:t>
      </w:r>
      <w:r>
        <w:rPr>
          <w:rFonts w:hint="eastAsia"/>
          <w:sz w:val="24"/>
        </w:rPr>
        <w:t>用水人增加用水建设面积、扩大用水四至</w:t>
      </w:r>
      <w:r>
        <w:rPr>
          <w:rFonts w:hint="eastAsia"/>
          <w:color w:val="auto"/>
          <w:sz w:val="24"/>
        </w:rPr>
        <w:t>范围，或</w:t>
      </w:r>
      <w:r>
        <w:rPr>
          <w:rFonts w:hint="eastAsia"/>
          <w:color w:val="auto"/>
          <w:sz w:val="24"/>
          <w:lang w:eastAsia="zh-CN"/>
        </w:rPr>
        <w:t>变更用水性质的</w:t>
      </w:r>
      <w:r>
        <w:rPr>
          <w:rFonts w:hint="eastAsia"/>
          <w:color w:val="auto"/>
          <w:sz w:val="24"/>
        </w:rPr>
        <w:t>，</w:t>
      </w:r>
      <w:r>
        <w:rPr>
          <w:rFonts w:hint="eastAsia"/>
          <w:sz w:val="24"/>
        </w:rPr>
        <w:t>必须提前向供水人提出书面申请，经供水人审查同意，并按规定缴纳相关费用后，</w:t>
      </w:r>
      <w:r>
        <w:rPr>
          <w:rFonts w:hint="eastAsia"/>
          <w:sz w:val="24"/>
          <w:lang w:eastAsia="zh-CN"/>
        </w:rPr>
        <w:t>办理相关手续</w:t>
      </w:r>
      <w:r>
        <w:rPr>
          <w:rFonts w:hint="eastAsia"/>
          <w:sz w:val="24"/>
        </w:rPr>
        <w:t>。</w:t>
      </w:r>
    </w:p>
    <w:p>
      <w:pPr>
        <w:ind w:firstLine="360" w:firstLineChars="150"/>
        <w:rPr>
          <w:sz w:val="24"/>
        </w:rPr>
      </w:pPr>
      <w:r>
        <w:rPr>
          <w:rFonts w:hint="eastAsia"/>
          <w:sz w:val="24"/>
        </w:rPr>
        <w:t>（三）用水人主体发生变更的，用水人如需新装、改装供水管道或贸易结算</w:t>
      </w:r>
    </w:p>
    <w:p>
      <w:pPr>
        <w:rPr>
          <w:sz w:val="24"/>
        </w:rPr>
      </w:pPr>
      <w:r>
        <w:rPr>
          <w:rFonts w:hint="eastAsia"/>
          <w:sz w:val="24"/>
        </w:rPr>
        <w:t>水表，以及需变更水性质的，应提前向供水人提出书面申请，办理相关手续，并重新签订《供用水合同》。</w:t>
      </w:r>
    </w:p>
    <w:p>
      <w:pPr>
        <w:ind w:left="0" w:leftChars="0" w:firstLine="480" w:firstLineChars="200"/>
        <w:rPr>
          <w:color w:val="auto"/>
          <w:sz w:val="24"/>
        </w:rPr>
      </w:pPr>
      <w:r>
        <w:rPr>
          <w:rFonts w:hint="eastAsia"/>
          <w:color w:val="auto"/>
          <w:sz w:val="24"/>
        </w:rPr>
        <w:t>（四）对</w:t>
      </w:r>
      <w:r>
        <w:rPr>
          <w:rFonts w:hint="eastAsia"/>
          <w:color w:val="auto"/>
          <w:sz w:val="24"/>
          <w:lang w:eastAsia="zh-CN"/>
        </w:rPr>
        <w:t>当期</w:t>
      </w:r>
      <w:r>
        <w:rPr>
          <w:rFonts w:hint="eastAsia"/>
          <w:color w:val="auto"/>
          <w:sz w:val="24"/>
        </w:rPr>
        <w:t>用水量有异议时，有权</w:t>
      </w:r>
      <w:r>
        <w:rPr>
          <w:rFonts w:hint="eastAsia"/>
          <w:color w:val="auto"/>
          <w:sz w:val="24"/>
          <w:lang w:eastAsia="zh-CN"/>
        </w:rPr>
        <w:t>在当期缴费期限内</w:t>
      </w:r>
      <w:r>
        <w:rPr>
          <w:rFonts w:hint="eastAsia"/>
          <w:color w:val="auto"/>
          <w:sz w:val="24"/>
        </w:rPr>
        <w:t>向供水</w:t>
      </w:r>
      <w:r>
        <w:rPr>
          <w:rFonts w:hint="eastAsia"/>
          <w:color w:val="auto"/>
          <w:sz w:val="24"/>
          <w:lang w:eastAsia="zh-CN"/>
        </w:rPr>
        <w:t>人书面申请复核。如逾期未提出，视为无异议。</w:t>
      </w:r>
    </w:p>
    <w:p>
      <w:pPr>
        <w:ind w:left="360"/>
        <w:rPr>
          <w:sz w:val="24"/>
        </w:rPr>
      </w:pPr>
      <w:r>
        <w:rPr>
          <w:rFonts w:hint="eastAsia"/>
          <w:sz w:val="24"/>
        </w:rPr>
        <w:t>（五）用水人应按照合同约定按时向供水人足额缴纳水费。</w:t>
      </w:r>
    </w:p>
    <w:p>
      <w:pPr>
        <w:ind w:left="360"/>
        <w:rPr>
          <w:sz w:val="24"/>
        </w:rPr>
      </w:pPr>
      <w:r>
        <w:rPr>
          <w:rFonts w:hint="eastAsia"/>
          <w:sz w:val="24"/>
        </w:rPr>
        <w:t>（六）用水人应保证贸易结算水表、水井（箱）及附属设施完好，不得埋压</w:t>
      </w:r>
    </w:p>
    <w:p>
      <w:pPr>
        <w:rPr>
          <w:sz w:val="24"/>
        </w:rPr>
      </w:pPr>
      <w:r>
        <w:rPr>
          <w:rFonts w:hint="eastAsia"/>
          <w:sz w:val="24"/>
        </w:rPr>
        <w:t>水表，配合供水人抄验水表，协助做好水表等设施的更换、维修工作。</w:t>
      </w:r>
    </w:p>
    <w:p>
      <w:pPr>
        <w:ind w:left="360"/>
        <w:rPr>
          <w:sz w:val="24"/>
        </w:rPr>
      </w:pPr>
      <w:r>
        <w:rPr>
          <w:rFonts w:hint="eastAsia"/>
          <w:sz w:val="24"/>
        </w:rPr>
        <w:t>（七）生产、使用或生产过程中产生有毒、有害物质的用水人，必须实行间</w:t>
      </w:r>
    </w:p>
    <w:p>
      <w:pPr>
        <w:rPr>
          <w:sz w:val="24"/>
        </w:rPr>
      </w:pPr>
      <w:r>
        <w:rPr>
          <w:rFonts w:hint="eastAsia"/>
          <w:sz w:val="24"/>
        </w:rPr>
        <w:t>接取水方式，禁止将内部用水管道直接与公共供水管道相连接。</w:t>
      </w:r>
    </w:p>
    <w:p>
      <w:pPr>
        <w:ind w:left="360"/>
        <w:rPr>
          <w:sz w:val="24"/>
        </w:rPr>
      </w:pPr>
      <w:r>
        <w:rPr>
          <w:rFonts w:hint="eastAsia"/>
          <w:sz w:val="24"/>
        </w:rPr>
        <w:t>（八）用水人不得在贸易结算水表前私自安装用水管道；不得在用水管道上</w:t>
      </w:r>
    </w:p>
    <w:p>
      <w:pPr>
        <w:rPr>
          <w:sz w:val="24"/>
        </w:rPr>
      </w:pPr>
      <w:r>
        <w:rPr>
          <w:rFonts w:hint="eastAsia"/>
          <w:sz w:val="24"/>
        </w:rPr>
        <w:t>装泵抽水；不得私自向其他用水人转供水；不得擅自增加用水建筑面积、提高供水人供水建筑高度或扩大用水四至范围。</w:t>
      </w:r>
    </w:p>
    <w:p>
      <w:pPr>
        <w:ind w:firstLine="480"/>
        <w:rPr>
          <w:sz w:val="24"/>
        </w:rPr>
      </w:pPr>
      <w:r>
        <w:rPr>
          <w:sz w:val="24"/>
        </w:rPr>
        <w:t>(</w:t>
      </w:r>
      <w:r>
        <w:rPr>
          <w:rFonts w:hint="eastAsia"/>
          <w:sz w:val="24"/>
        </w:rPr>
        <w:t>九</w:t>
      </w:r>
      <w:r>
        <w:rPr>
          <w:sz w:val="24"/>
        </w:rPr>
        <w:t xml:space="preserve"> )</w:t>
      </w:r>
      <w:r>
        <w:rPr>
          <w:rFonts w:hint="eastAsia"/>
          <w:sz w:val="24"/>
        </w:rPr>
        <w:t>用水人不能间断用水或者对水质、水压有特殊要求的，应当自行设置储水、间接加压设施及水处理设备。</w:t>
      </w:r>
    </w:p>
    <w:p>
      <w:pPr>
        <w:ind w:left="360"/>
        <w:rPr>
          <w:sz w:val="24"/>
        </w:rPr>
      </w:pPr>
      <w:r>
        <w:rPr>
          <w:rFonts w:hint="eastAsia"/>
          <w:b/>
          <w:sz w:val="24"/>
        </w:rPr>
        <w:t>第六条</w:t>
      </w:r>
      <w:r>
        <w:rPr>
          <w:b/>
          <w:sz w:val="24"/>
        </w:rPr>
        <w:t xml:space="preserve"> </w:t>
      </w:r>
      <w:r>
        <w:rPr>
          <w:rFonts w:hint="eastAsia"/>
          <w:b/>
          <w:sz w:val="24"/>
        </w:rPr>
        <w:t>违约责任</w:t>
      </w:r>
    </w:p>
    <w:p>
      <w:pPr>
        <w:numPr>
          <w:ilvl w:val="0"/>
          <w:numId w:val="6"/>
        </w:numPr>
        <w:rPr>
          <w:sz w:val="24"/>
        </w:rPr>
      </w:pPr>
      <w:r>
        <w:rPr>
          <w:rFonts w:hint="eastAsia"/>
          <w:sz w:val="24"/>
        </w:rPr>
        <w:t>供水人的违约责任</w:t>
      </w:r>
    </w:p>
    <w:p>
      <w:pPr>
        <w:numPr>
          <w:ilvl w:val="0"/>
          <w:numId w:val="7"/>
        </w:numPr>
        <w:rPr>
          <w:sz w:val="24"/>
        </w:rPr>
      </w:pPr>
      <w:r>
        <w:rPr>
          <w:rFonts w:hint="eastAsia"/>
          <w:sz w:val="24"/>
        </w:rPr>
        <w:t>由于供水人责任在抄表收费中多收水费的，经查实后，供水人应当予以退</w:t>
      </w:r>
    </w:p>
    <w:p>
      <w:pPr>
        <w:rPr>
          <w:sz w:val="24"/>
        </w:rPr>
      </w:pPr>
      <w:r>
        <w:rPr>
          <w:rFonts w:hint="eastAsia"/>
          <w:sz w:val="24"/>
        </w:rPr>
        <w:t>还或充缴下月水费。</w:t>
      </w:r>
    </w:p>
    <w:p>
      <w:pPr>
        <w:rPr>
          <w:sz w:val="24"/>
        </w:rPr>
      </w:pPr>
      <w:r>
        <w:rPr>
          <w:sz w:val="24"/>
        </w:rPr>
        <w:t xml:space="preserve">   2</w:t>
      </w:r>
      <w:r>
        <w:rPr>
          <w:rFonts w:hint="eastAsia"/>
          <w:sz w:val="24"/>
        </w:rPr>
        <w:t>、因供水人责任造成水表井内管道漏水或未按规定更换故障水表，给用水人造成损失的，供水人应当承担赔偿责任。</w:t>
      </w:r>
    </w:p>
    <w:p>
      <w:pPr>
        <w:rPr>
          <w:sz w:val="24"/>
        </w:rPr>
      </w:pPr>
      <w:r>
        <w:rPr>
          <w:sz w:val="24"/>
        </w:rPr>
        <w:t xml:space="preserve">   3</w:t>
      </w:r>
      <w:r>
        <w:rPr>
          <w:rFonts w:hint="eastAsia"/>
          <w:sz w:val="24"/>
        </w:rPr>
        <w:t>、由于不可抗力的原因造成停水、降压、水质质量事故，使用水人受到损失的，供水人不承担赔偿责任。</w:t>
      </w:r>
    </w:p>
    <w:p>
      <w:pPr>
        <w:rPr>
          <w:sz w:val="24"/>
        </w:rPr>
      </w:pPr>
      <w:r>
        <w:rPr>
          <w:sz w:val="24"/>
        </w:rPr>
        <w:t xml:space="preserve">   </w:t>
      </w:r>
      <w:r>
        <w:rPr>
          <w:rFonts w:hint="eastAsia"/>
          <w:sz w:val="24"/>
        </w:rPr>
        <w:t>（二）用水人的违约责任</w:t>
      </w:r>
    </w:p>
    <w:p>
      <w:pPr>
        <w:rPr>
          <w:sz w:val="24"/>
        </w:rPr>
      </w:pPr>
      <w:r>
        <w:rPr>
          <w:sz w:val="24"/>
        </w:rPr>
        <w:t xml:space="preserve">   1</w:t>
      </w:r>
      <w:r>
        <w:rPr>
          <w:rFonts w:hint="eastAsia"/>
          <w:sz w:val="24"/>
        </w:rPr>
        <w:t>、用水人未按期足额缴纳水费的，除应补足应缴水费外，</w:t>
      </w:r>
      <w:r>
        <w:rPr>
          <w:rFonts w:hint="eastAsia"/>
          <w:sz w:val="24"/>
          <w:lang w:eastAsia="zh-CN"/>
        </w:rPr>
        <w:t>逾期后每日按欠费总额的</w:t>
      </w:r>
      <w:r>
        <w:rPr>
          <w:rFonts w:hint="eastAsia"/>
          <w:sz w:val="24"/>
          <w:u w:val="single"/>
          <w:lang w:val="en-US" w:eastAsia="zh-CN"/>
        </w:rPr>
        <w:t xml:space="preserve">      </w:t>
      </w:r>
      <w:r>
        <w:rPr>
          <w:rFonts w:hint="eastAsia"/>
          <w:sz w:val="24"/>
          <w:u w:val="none"/>
          <w:lang w:val="en-US" w:eastAsia="zh-CN"/>
        </w:rPr>
        <w:t>‰加收违约金</w:t>
      </w:r>
      <w:r>
        <w:rPr>
          <w:rFonts w:hint="eastAsia"/>
          <w:sz w:val="24"/>
        </w:rPr>
        <w:t>；超过规定缴费日期一个月仍未缴清的，供水人有权中止供水。当用水人交齐水费和违约金后，供水人应于</w:t>
      </w:r>
      <w:r>
        <w:rPr>
          <w:sz w:val="24"/>
        </w:rPr>
        <w:t>24</w:t>
      </w:r>
      <w:r>
        <w:rPr>
          <w:rFonts w:hint="eastAsia"/>
          <w:sz w:val="24"/>
        </w:rPr>
        <w:t>小时内恢复供水。中止供水超过三个月，用水人要求复装的，应当交齐欠费和供水设施复装工料费后，另行办理新装手续。</w:t>
      </w:r>
    </w:p>
    <w:p>
      <w:pPr>
        <w:rPr>
          <w:sz w:val="24"/>
        </w:rPr>
      </w:pPr>
      <w:r>
        <w:rPr>
          <w:sz w:val="24"/>
        </w:rPr>
        <w:t xml:space="preserve">   2</w:t>
      </w:r>
      <w:r>
        <w:rPr>
          <w:rFonts w:hint="eastAsia"/>
          <w:sz w:val="24"/>
        </w:rPr>
        <w:t>、未经供水人审批同意，用水人擅自新装、改装供水管道或贸易结算水表、增加用水建筑面积、扩大用水四至范围，或增加供用水供水的建筑高度时，供水人有权停止供水，用水人除负责补办审批手续并补交城市供水管网建设费外，应承担由此产生的一切责任。</w:t>
      </w:r>
    </w:p>
    <w:p>
      <w:pPr>
        <w:rPr>
          <w:sz w:val="24"/>
        </w:rPr>
      </w:pPr>
      <w:r>
        <w:rPr>
          <w:sz w:val="24"/>
        </w:rPr>
        <w:t xml:space="preserve">   3</w:t>
      </w:r>
      <w:r>
        <w:rPr>
          <w:rFonts w:hint="eastAsia"/>
          <w:sz w:val="24"/>
        </w:rPr>
        <w:t>、用水人私自改变用水性质、向其他用水人转供水，而未到供水人处办理变更手续的，用水人除补交水价差价的水费和城市供水管网建设费外，还应当支付应缴水费</w:t>
      </w:r>
      <w:r>
        <w:rPr>
          <w:sz w:val="24"/>
        </w:rPr>
        <w:t>1%</w:t>
      </w:r>
      <w:r>
        <w:rPr>
          <w:rFonts w:hint="eastAsia"/>
          <w:sz w:val="24"/>
        </w:rPr>
        <w:t>的违约金。</w:t>
      </w:r>
    </w:p>
    <w:p>
      <w:pPr>
        <w:rPr>
          <w:sz w:val="24"/>
        </w:rPr>
      </w:pPr>
      <w:r>
        <w:rPr>
          <w:sz w:val="24"/>
        </w:rPr>
        <w:t xml:space="preserve">   4</w:t>
      </w:r>
      <w:r>
        <w:rPr>
          <w:rFonts w:hint="eastAsia"/>
          <w:sz w:val="24"/>
        </w:rPr>
        <w:t>、用水人终止用水，未到供水人处办理相关手续，给供水人造成损失的，由用水人承担赔偿责任。</w:t>
      </w:r>
    </w:p>
    <w:p>
      <w:pPr>
        <w:rPr>
          <w:sz w:val="24"/>
        </w:rPr>
      </w:pPr>
      <w:r>
        <w:rPr>
          <w:sz w:val="24"/>
        </w:rPr>
        <w:t xml:space="preserve">   5</w:t>
      </w:r>
      <w:r>
        <w:rPr>
          <w:rFonts w:hint="eastAsia"/>
          <w:sz w:val="24"/>
        </w:rPr>
        <w:t>、用水人故意采取技术手段使贸易结算水表停滞、失灵、逆行的，在贸易结算水表前私自安装供水管道的，在用水管道上装泵抽水的，供水人按用水管道最大流量标准的三倍收取用水人水费，用水人拒绝缴纳的，供水人有权停止供水。构成偷窃水违法行为的，依法追究用水人法律责任。</w:t>
      </w:r>
    </w:p>
    <w:p>
      <w:pPr>
        <w:rPr>
          <w:b/>
          <w:sz w:val="24"/>
        </w:rPr>
      </w:pPr>
      <w:r>
        <w:rPr>
          <w:sz w:val="24"/>
        </w:rPr>
        <w:t xml:space="preserve"> </w:t>
      </w:r>
      <w:r>
        <w:rPr>
          <w:b/>
          <w:sz w:val="24"/>
        </w:rPr>
        <w:t xml:space="preserve"> </w:t>
      </w:r>
      <w:r>
        <w:rPr>
          <w:rFonts w:hint="eastAsia"/>
          <w:b/>
          <w:sz w:val="24"/>
        </w:rPr>
        <w:t>第七条</w:t>
      </w:r>
      <w:r>
        <w:rPr>
          <w:b/>
          <w:sz w:val="24"/>
        </w:rPr>
        <w:t xml:space="preserve"> </w:t>
      </w:r>
      <w:r>
        <w:rPr>
          <w:rFonts w:hint="eastAsia"/>
          <w:b/>
          <w:sz w:val="24"/>
        </w:rPr>
        <w:t>合同有效期限</w:t>
      </w:r>
    </w:p>
    <w:p>
      <w:pPr>
        <w:ind w:left="360"/>
        <w:rPr>
          <w:sz w:val="24"/>
        </w:rPr>
      </w:pPr>
      <w:r>
        <w:rPr>
          <w:rFonts w:hint="eastAsia"/>
          <w:sz w:val="24"/>
        </w:rPr>
        <w:t>本合同自签订之日起生效。遇以下情况时本合同终止或供水人有权单方解除</w:t>
      </w:r>
    </w:p>
    <w:p>
      <w:pPr>
        <w:rPr>
          <w:sz w:val="24"/>
        </w:rPr>
      </w:pPr>
      <w:r>
        <w:rPr>
          <w:rFonts w:hint="eastAsia"/>
          <w:sz w:val="24"/>
        </w:rPr>
        <w:t>本合同：</w:t>
      </w:r>
    </w:p>
    <w:p>
      <w:pPr>
        <w:numPr>
          <w:ilvl w:val="1"/>
          <w:numId w:val="6"/>
        </w:numPr>
        <w:rPr>
          <w:sz w:val="24"/>
        </w:rPr>
      </w:pPr>
      <w:r>
        <w:rPr>
          <w:rFonts w:hint="eastAsia"/>
          <w:sz w:val="24"/>
        </w:rPr>
        <w:t>用水人欠缴水费达</w:t>
      </w:r>
      <w:r>
        <w:rPr>
          <w:sz w:val="24"/>
        </w:rPr>
        <w:t>3</w:t>
      </w:r>
      <w:r>
        <w:rPr>
          <w:rFonts w:hint="eastAsia"/>
          <w:sz w:val="24"/>
        </w:rPr>
        <w:t>个月以上的；</w:t>
      </w:r>
    </w:p>
    <w:p>
      <w:pPr>
        <w:numPr>
          <w:ilvl w:val="1"/>
          <w:numId w:val="6"/>
        </w:numPr>
        <w:rPr>
          <w:sz w:val="24"/>
        </w:rPr>
      </w:pPr>
      <w:r>
        <w:rPr>
          <w:rFonts w:hint="eastAsia"/>
          <w:sz w:val="24"/>
        </w:rPr>
        <w:t>用水人房屋、用水地址拆迁；</w:t>
      </w:r>
    </w:p>
    <w:p>
      <w:pPr>
        <w:numPr>
          <w:ilvl w:val="1"/>
          <w:numId w:val="6"/>
        </w:numPr>
        <w:rPr>
          <w:sz w:val="24"/>
        </w:rPr>
      </w:pPr>
      <w:r>
        <w:rPr>
          <w:rFonts w:hint="eastAsia"/>
          <w:sz w:val="24"/>
        </w:rPr>
        <w:t>用水人搬迁、合并、分立、用水地或房屋产权变更等致其不再继续用</w:t>
      </w:r>
    </w:p>
    <w:p>
      <w:pPr>
        <w:rPr>
          <w:sz w:val="24"/>
        </w:rPr>
      </w:pPr>
      <w:r>
        <w:rPr>
          <w:rFonts w:hint="eastAsia"/>
          <w:sz w:val="24"/>
        </w:rPr>
        <w:t>水的，在</w:t>
      </w:r>
      <w:r>
        <w:rPr>
          <w:sz w:val="24"/>
        </w:rPr>
        <w:t>1</w:t>
      </w:r>
      <w:r>
        <w:rPr>
          <w:rFonts w:hint="eastAsia"/>
          <w:sz w:val="24"/>
        </w:rPr>
        <w:t>个月内用水人仍未办理用水过户、销户和报停手续的；</w:t>
      </w:r>
    </w:p>
    <w:p>
      <w:pPr>
        <w:rPr>
          <w:sz w:val="24"/>
        </w:rPr>
      </w:pPr>
      <w:r>
        <w:rPr>
          <w:sz w:val="24"/>
        </w:rPr>
        <w:t xml:space="preserve">       4</w:t>
      </w:r>
      <w:r>
        <w:rPr>
          <w:rFonts w:hint="eastAsia"/>
          <w:sz w:val="24"/>
        </w:rPr>
        <w:t>、用水主体变更，供水人与新用水人不能适用本合同的；</w:t>
      </w:r>
    </w:p>
    <w:p>
      <w:pPr>
        <w:rPr>
          <w:sz w:val="24"/>
        </w:rPr>
      </w:pPr>
      <w:r>
        <w:rPr>
          <w:sz w:val="24"/>
        </w:rPr>
        <w:t xml:space="preserve">       5</w:t>
      </w:r>
      <w:r>
        <w:rPr>
          <w:rFonts w:hint="eastAsia"/>
          <w:sz w:val="24"/>
        </w:rPr>
        <w:t>、用水性质变更，当月未通知供水人，并未按规定标准缴纳水费的。</w:t>
      </w:r>
    </w:p>
    <w:p>
      <w:pPr>
        <w:rPr>
          <w:b/>
          <w:sz w:val="24"/>
        </w:rPr>
      </w:pPr>
      <w:r>
        <w:rPr>
          <w:sz w:val="24"/>
        </w:rPr>
        <w:t xml:space="preserve">   </w:t>
      </w:r>
      <w:r>
        <w:rPr>
          <w:b/>
          <w:sz w:val="24"/>
        </w:rPr>
        <w:t xml:space="preserve"> </w:t>
      </w:r>
      <w:r>
        <w:rPr>
          <w:rFonts w:hint="eastAsia"/>
          <w:b/>
          <w:sz w:val="24"/>
        </w:rPr>
        <w:t>第八条</w:t>
      </w:r>
      <w:r>
        <w:rPr>
          <w:b/>
          <w:sz w:val="24"/>
        </w:rPr>
        <w:t xml:space="preserve"> </w:t>
      </w:r>
      <w:r>
        <w:rPr>
          <w:rFonts w:hint="eastAsia"/>
          <w:b/>
          <w:sz w:val="24"/>
        </w:rPr>
        <w:t>合同的变更</w:t>
      </w:r>
    </w:p>
    <w:p>
      <w:pPr>
        <w:rPr>
          <w:sz w:val="24"/>
        </w:rPr>
      </w:pPr>
      <w:r>
        <w:rPr>
          <w:sz w:val="24"/>
        </w:rPr>
        <w:t xml:space="preserve">     </w:t>
      </w:r>
      <w:r>
        <w:rPr>
          <w:rFonts w:hint="eastAsia"/>
          <w:sz w:val="24"/>
        </w:rPr>
        <w:t>当事人如需要修改合同条款或者合同未尽事宜，须经双方协商一致，签订补充协议，补充协议与本合同具有同等效力。因变更合同主体的，原用水人结算水费完毕后，本合同自行终止。本合同用水人出租用水地房屋而引起实际用水人变化，并因租赁方拒交水费或逃逸、停业等原因而导致欠费的，由出租方即本合同用水人承担责任，负责清缴所欠全部水费，并承担相应的违约责任。</w:t>
      </w:r>
    </w:p>
    <w:p>
      <w:pPr>
        <w:ind w:firstLine="480"/>
        <w:rPr>
          <w:sz w:val="24"/>
        </w:rPr>
      </w:pPr>
      <w:r>
        <w:rPr>
          <w:rFonts w:hint="eastAsia"/>
          <w:b/>
          <w:sz w:val="24"/>
        </w:rPr>
        <w:t>第九条</w:t>
      </w:r>
      <w:r>
        <w:rPr>
          <w:b/>
          <w:sz w:val="24"/>
        </w:rPr>
        <w:t xml:space="preserve"> </w:t>
      </w:r>
      <w:r>
        <w:rPr>
          <w:rFonts w:hint="eastAsia"/>
          <w:b/>
          <w:sz w:val="24"/>
        </w:rPr>
        <w:t>争议的解决方式</w:t>
      </w:r>
    </w:p>
    <w:p>
      <w:pPr>
        <w:ind w:firstLine="480"/>
        <w:rPr>
          <w:rFonts w:hint="eastAsia"/>
          <w:sz w:val="24"/>
        </w:rPr>
      </w:pPr>
      <w:r>
        <w:rPr>
          <w:rFonts w:hint="eastAsia"/>
          <w:sz w:val="24"/>
        </w:rPr>
        <w:t>本合同在履行过程中发生争议，由当事人双方协商解决。协商不成的，任何一方有权向人民法院提起诉讼。</w:t>
      </w:r>
    </w:p>
    <w:p>
      <w:pPr>
        <w:ind w:firstLine="482" w:firstLineChars="200"/>
        <w:rPr>
          <w:sz w:val="24"/>
        </w:rPr>
      </w:pPr>
      <w:r>
        <w:rPr>
          <w:rFonts w:hint="eastAsia"/>
          <w:b/>
          <w:sz w:val="24"/>
        </w:rPr>
        <w:t>第十条</w:t>
      </w:r>
      <w:r>
        <w:rPr>
          <w:b/>
          <w:sz w:val="24"/>
        </w:rPr>
        <w:t xml:space="preserve"> </w:t>
      </w:r>
      <w:r>
        <w:rPr>
          <w:rFonts w:hint="eastAsia"/>
          <w:b/>
          <w:sz w:val="24"/>
        </w:rPr>
        <w:t>其他约定</w:t>
      </w:r>
    </w:p>
    <w:p>
      <w:pPr>
        <w:ind w:left="480"/>
        <w:rPr>
          <w:rFonts w:hint="eastAsia"/>
          <w:b/>
          <w:bCs/>
          <w:sz w:val="24"/>
          <w:lang w:eastAsia="zh-CN"/>
        </w:rPr>
      </w:pPr>
      <w:r>
        <w:rPr>
          <w:sz w:val="24"/>
        </w:rPr>
        <w:t>1</w:t>
      </w:r>
      <w:r>
        <w:rPr>
          <w:rFonts w:hint="eastAsia"/>
          <w:sz w:val="24"/>
        </w:rPr>
        <w:t>、</w:t>
      </w:r>
      <w:r>
        <w:rPr>
          <w:rFonts w:hint="eastAsia"/>
          <w:b/>
          <w:bCs/>
          <w:sz w:val="24"/>
          <w:lang w:eastAsia="zh-CN"/>
        </w:rPr>
        <w:t>水费缴纳已纳入中国人民银行征信系统。</w:t>
      </w:r>
    </w:p>
    <w:p>
      <w:pPr>
        <w:ind w:firstLine="480" w:firstLineChars="200"/>
        <w:rPr>
          <w:rFonts w:hint="eastAsia"/>
          <w:sz w:val="24"/>
          <w:lang w:val="en-US" w:eastAsia="zh-CN"/>
        </w:rPr>
      </w:pPr>
      <w:r>
        <w:rPr>
          <w:rFonts w:hint="eastAsia"/>
          <w:sz w:val="24"/>
          <w:lang w:val="en-US" w:eastAsia="zh-CN"/>
        </w:rPr>
        <w:t>2、此合同若因政策等特殊原因需重新签订后，则该合同作废。</w:t>
      </w:r>
    </w:p>
    <w:p>
      <w:pPr>
        <w:ind w:left="480"/>
        <w:rPr>
          <w:sz w:val="24"/>
        </w:rPr>
      </w:pPr>
      <w:r>
        <w:rPr>
          <w:rFonts w:hint="eastAsia"/>
          <w:sz w:val="24"/>
          <w:lang w:val="en-US" w:eastAsia="zh-CN"/>
        </w:rPr>
        <w:t>3、</w:t>
      </w:r>
      <w:r>
        <w:rPr>
          <w:rFonts w:hint="eastAsia"/>
          <w:sz w:val="24"/>
        </w:rPr>
        <w:t>用水人拖欠供水人水费或在违章用水未处结前，在办理其它用水业</w:t>
      </w:r>
    </w:p>
    <w:p>
      <w:pPr>
        <w:rPr>
          <w:sz w:val="24"/>
        </w:rPr>
      </w:pPr>
      <w:r>
        <w:rPr>
          <w:rFonts w:hint="eastAsia"/>
          <w:sz w:val="24"/>
        </w:rPr>
        <w:t>务手续时，供水人有权停办其用水相关业务。</w:t>
      </w:r>
    </w:p>
    <w:p>
      <w:pPr>
        <w:numPr>
          <w:ilvl w:val="0"/>
          <w:numId w:val="0"/>
        </w:numPr>
        <w:ind w:firstLine="480" w:firstLineChars="200"/>
        <w:rPr>
          <w:sz w:val="24"/>
        </w:rPr>
      </w:pPr>
      <w:r>
        <w:rPr>
          <w:rFonts w:hint="eastAsia"/>
          <w:sz w:val="24"/>
          <w:lang w:val="en-US" w:eastAsia="zh-CN"/>
        </w:rPr>
        <w:t>4、</w:t>
      </w:r>
      <w:r>
        <w:rPr>
          <w:rFonts w:hint="eastAsia"/>
          <w:sz w:val="24"/>
        </w:rPr>
        <w:t>本合同的各附件是本合同的有效组成部分，与本合同具有同等的法律效</w:t>
      </w:r>
    </w:p>
    <w:p>
      <w:pPr>
        <w:rPr>
          <w:sz w:val="24"/>
        </w:rPr>
      </w:pPr>
      <w:r>
        <w:rPr>
          <w:rFonts w:hint="eastAsia"/>
          <w:sz w:val="24"/>
        </w:rPr>
        <w:t>力。</w:t>
      </w:r>
    </w:p>
    <w:p>
      <w:pPr>
        <w:rPr>
          <w:sz w:val="24"/>
        </w:rPr>
      </w:pPr>
      <w:r>
        <w:rPr>
          <w:sz w:val="24"/>
        </w:rPr>
        <w:t xml:space="preserve">  </w:t>
      </w:r>
      <w:r>
        <w:rPr>
          <w:rFonts w:hint="eastAsia"/>
          <w:sz w:val="24"/>
          <w:lang w:val="en-US" w:eastAsia="zh-CN"/>
        </w:rPr>
        <w:t xml:space="preserve"> </w:t>
      </w:r>
      <w:r>
        <w:rPr>
          <w:sz w:val="24"/>
        </w:rPr>
        <w:t xml:space="preserve"> </w:t>
      </w:r>
      <w:r>
        <w:rPr>
          <w:rFonts w:hint="eastAsia"/>
          <w:sz w:val="24"/>
          <w:lang w:val="en-US" w:eastAsia="zh-CN"/>
        </w:rPr>
        <w:t>5、</w:t>
      </w:r>
      <w:r>
        <w:rPr>
          <w:rFonts w:hint="eastAsia"/>
          <w:sz w:val="24"/>
        </w:rPr>
        <w:t>本合同未尽事宜，均按法律、法规有关的规定执行。在合同期内，如果本合同条款与国家有关管理新规定相悖，双方均按照新规定执行。</w:t>
      </w:r>
    </w:p>
    <w:p>
      <w:pPr>
        <w:rPr>
          <w:sz w:val="24"/>
        </w:rPr>
      </w:pPr>
      <w:r>
        <w:rPr>
          <w:sz w:val="24"/>
        </w:rPr>
        <w:t xml:space="preserve">   </w:t>
      </w:r>
      <w:r>
        <w:rPr>
          <w:rFonts w:hint="eastAsia"/>
          <w:sz w:val="24"/>
          <w:lang w:val="en-US" w:eastAsia="zh-CN"/>
        </w:rPr>
        <w:t xml:space="preserve"> 6</w:t>
      </w:r>
      <w:r>
        <w:rPr>
          <w:rFonts w:hint="eastAsia"/>
          <w:sz w:val="24"/>
        </w:rPr>
        <w:t>、本合同一式</w:t>
      </w:r>
      <w:r>
        <w:rPr>
          <w:sz w:val="24"/>
          <w:u w:val="single"/>
        </w:rPr>
        <w:t xml:space="preserve">      </w:t>
      </w:r>
      <w:r>
        <w:rPr>
          <w:rFonts w:hint="eastAsia"/>
          <w:sz w:val="24"/>
        </w:rPr>
        <w:t>份，其中：供水人</w:t>
      </w:r>
      <w:r>
        <w:rPr>
          <w:sz w:val="24"/>
          <w:u w:val="single"/>
        </w:rPr>
        <w:t xml:space="preserve">     </w:t>
      </w:r>
      <w:r>
        <w:rPr>
          <w:rFonts w:hint="eastAsia"/>
          <w:sz w:val="24"/>
        </w:rPr>
        <w:t>份，用水人</w:t>
      </w:r>
      <w:r>
        <w:rPr>
          <w:sz w:val="24"/>
          <w:u w:val="single"/>
        </w:rPr>
        <w:t xml:space="preserve">     </w:t>
      </w:r>
      <w:r>
        <w:rPr>
          <w:rFonts w:hint="eastAsia"/>
          <w:sz w:val="24"/>
        </w:rPr>
        <w:t>份。</w:t>
      </w:r>
    </w:p>
    <w:p>
      <w:pPr>
        <w:ind w:left="237" w:leftChars="113" w:firstLine="398" w:firstLineChars="124"/>
        <w:rPr>
          <w:rFonts w:hint="eastAsia"/>
          <w:b/>
          <w:sz w:val="32"/>
          <w:szCs w:val="32"/>
        </w:rPr>
      </w:pPr>
      <w:r>
        <w:rPr>
          <w:rFonts w:hint="eastAsia"/>
          <w:b/>
          <w:sz w:val="32"/>
          <w:szCs w:val="32"/>
        </w:rPr>
        <w:t>本人已</w:t>
      </w:r>
      <w:r>
        <w:rPr>
          <w:rFonts w:hint="eastAsia"/>
          <w:b/>
          <w:sz w:val="32"/>
          <w:szCs w:val="32"/>
          <w:u w:val="single"/>
          <w:lang w:val="en-US" w:eastAsia="zh-CN"/>
        </w:rPr>
        <w:t xml:space="preserve">            </w:t>
      </w:r>
      <w:r>
        <w:rPr>
          <w:rFonts w:hint="eastAsia"/>
          <w:b/>
          <w:sz w:val="32"/>
          <w:szCs w:val="32"/>
        </w:rPr>
        <w:t>以上所有条款，如有</w:t>
      </w:r>
      <w:r>
        <w:rPr>
          <w:rFonts w:hint="eastAsia"/>
          <w:b/>
          <w:sz w:val="32"/>
          <w:szCs w:val="32"/>
          <w:u w:val="single"/>
          <w:lang w:val="en-US" w:eastAsia="zh-CN"/>
        </w:rPr>
        <w:t xml:space="preserve">       </w:t>
      </w:r>
      <w:r>
        <w:rPr>
          <w:rFonts w:hint="eastAsia"/>
          <w:b/>
          <w:sz w:val="32"/>
          <w:szCs w:val="32"/>
        </w:rPr>
        <w:t>则视为</w:t>
      </w:r>
      <w:r>
        <w:rPr>
          <w:rFonts w:hint="eastAsia"/>
          <w:b/>
          <w:sz w:val="32"/>
          <w:szCs w:val="32"/>
          <w:u w:val="single"/>
          <w:lang w:val="en-US" w:eastAsia="zh-CN"/>
        </w:rPr>
        <w:t xml:space="preserve">            </w:t>
      </w:r>
      <w:r>
        <w:rPr>
          <w:rFonts w:hint="eastAsia"/>
          <w:b/>
          <w:sz w:val="32"/>
          <w:szCs w:val="32"/>
        </w:rPr>
        <w:t xml:space="preserve">用水权利。 </w:t>
      </w:r>
    </w:p>
    <w:p>
      <w:pPr>
        <w:ind w:firstLine="240" w:firstLineChars="100"/>
        <w:rPr>
          <w:rFonts w:hint="eastAsia"/>
          <w:sz w:val="24"/>
          <w:lang w:eastAsia="zh-CN"/>
        </w:rPr>
      </w:pPr>
      <w:r>
        <w:rPr>
          <w:rFonts w:hint="eastAsia"/>
          <w:sz w:val="24"/>
          <w:lang w:eastAsia="zh-CN"/>
        </w:rPr>
        <w:t>（本人已</w:t>
      </w:r>
      <w:r>
        <w:rPr>
          <w:rFonts w:hint="eastAsia"/>
          <w:b/>
          <w:bCs/>
          <w:sz w:val="24"/>
          <w:u w:val="single"/>
          <w:lang w:eastAsia="zh-CN"/>
        </w:rPr>
        <w:t>阅读并同意</w:t>
      </w:r>
      <w:r>
        <w:rPr>
          <w:rFonts w:hint="eastAsia"/>
          <w:sz w:val="24"/>
          <w:lang w:eastAsia="zh-CN"/>
        </w:rPr>
        <w:t>以上所有条款，如有</w:t>
      </w:r>
      <w:r>
        <w:rPr>
          <w:rFonts w:hint="eastAsia"/>
          <w:b/>
          <w:bCs/>
          <w:sz w:val="24"/>
          <w:u w:val="single"/>
          <w:lang w:eastAsia="zh-CN"/>
        </w:rPr>
        <w:t>违反</w:t>
      </w:r>
      <w:r>
        <w:rPr>
          <w:rFonts w:hint="eastAsia"/>
          <w:sz w:val="24"/>
          <w:lang w:eastAsia="zh-CN"/>
        </w:rPr>
        <w:t>则视为</w:t>
      </w:r>
      <w:r>
        <w:rPr>
          <w:rFonts w:hint="eastAsia"/>
          <w:b/>
          <w:bCs/>
          <w:sz w:val="24"/>
          <w:u w:val="single"/>
          <w:lang w:eastAsia="zh-CN"/>
        </w:rPr>
        <w:t>自愿放弃</w:t>
      </w:r>
      <w:r>
        <w:rPr>
          <w:rFonts w:hint="eastAsia"/>
          <w:sz w:val="24"/>
          <w:lang w:eastAsia="zh-CN"/>
        </w:rPr>
        <w:t>用水权利。）</w:t>
      </w:r>
    </w:p>
    <w:p>
      <w:pPr>
        <w:rPr>
          <w:b/>
          <w:sz w:val="24"/>
        </w:rPr>
      </w:pPr>
      <w:r>
        <w:rPr>
          <w:rFonts w:hint="eastAsia"/>
          <w:b/>
          <w:sz w:val="24"/>
        </w:rPr>
        <w:t xml:space="preserve">  </w:t>
      </w:r>
    </w:p>
    <w:p>
      <w:pPr>
        <w:ind w:firstLine="482" w:firstLineChars="200"/>
        <w:rPr>
          <w:sz w:val="24"/>
        </w:rPr>
      </w:pPr>
      <w:r>
        <w:rPr>
          <w:rFonts w:hint="eastAsia"/>
          <w:b/>
          <w:sz w:val="24"/>
        </w:rPr>
        <w:t xml:space="preserve"> </w:t>
      </w:r>
      <w:r>
        <w:rPr>
          <w:rFonts w:hint="eastAsia"/>
          <w:sz w:val="24"/>
        </w:rPr>
        <w:t>供水人：</w:t>
      </w:r>
      <w:r>
        <w:rPr>
          <w:sz w:val="24"/>
        </w:rPr>
        <w:t xml:space="preserve">                               </w:t>
      </w:r>
      <w:r>
        <w:rPr>
          <w:rFonts w:hint="eastAsia"/>
          <w:sz w:val="24"/>
        </w:rPr>
        <w:t>用水人：</w:t>
      </w:r>
    </w:p>
    <w:p>
      <w:pPr>
        <w:rPr>
          <w:sz w:val="24"/>
        </w:rPr>
      </w:pPr>
      <w:r>
        <w:rPr>
          <w:sz w:val="24"/>
        </w:rPr>
        <w:t xml:space="preserve">  </w:t>
      </w:r>
    </w:p>
    <w:p>
      <w:pPr>
        <w:ind w:firstLine="480"/>
        <w:rPr>
          <w:sz w:val="24"/>
        </w:rPr>
      </w:pPr>
      <w:r>
        <w:rPr>
          <w:rFonts w:hint="eastAsia"/>
          <w:sz w:val="24"/>
        </w:rPr>
        <w:t>（盖章）</w:t>
      </w:r>
      <w:r>
        <w:rPr>
          <w:sz w:val="24"/>
        </w:rPr>
        <w:t xml:space="preserve">                                </w:t>
      </w:r>
      <w:r>
        <w:rPr>
          <w:rFonts w:hint="eastAsia"/>
          <w:sz w:val="24"/>
        </w:rPr>
        <w:t>（盖章）</w:t>
      </w:r>
    </w:p>
    <w:p>
      <w:pPr>
        <w:ind w:firstLine="480"/>
        <w:rPr>
          <w:sz w:val="24"/>
        </w:rPr>
      </w:pPr>
      <w:r>
        <w:rPr>
          <w:sz w:val="24"/>
        </w:rPr>
        <w:t xml:space="preserve"> </w:t>
      </w:r>
    </w:p>
    <w:p>
      <w:pPr>
        <w:tabs>
          <w:tab w:val="left" w:pos="5340"/>
        </w:tabs>
        <w:ind w:firstLine="480"/>
        <w:rPr>
          <w:sz w:val="24"/>
        </w:rPr>
      </w:pPr>
      <w:r>
        <w:rPr>
          <w:rFonts w:hint="eastAsia"/>
          <w:sz w:val="24"/>
        </w:rPr>
        <w:t>法定代表人（签字）：                     法定代表人（签字）：</w:t>
      </w:r>
      <w:r>
        <w:rPr>
          <w:sz w:val="24"/>
        </w:rPr>
        <w:tab/>
      </w:r>
    </w:p>
    <w:p>
      <w:pPr>
        <w:tabs>
          <w:tab w:val="left" w:pos="5340"/>
        </w:tabs>
        <w:ind w:firstLine="480"/>
        <w:rPr>
          <w:sz w:val="24"/>
        </w:rPr>
      </w:pPr>
      <w:r>
        <w:rPr>
          <w:rFonts w:hint="eastAsia"/>
          <w:sz w:val="24"/>
        </w:rPr>
        <w:t>经办人（签字）：                         法人身份证号：</w:t>
      </w:r>
    </w:p>
    <w:p>
      <w:pPr>
        <w:tabs>
          <w:tab w:val="left" w:pos="5340"/>
        </w:tabs>
        <w:ind w:firstLine="480" w:firstLineChars="200"/>
        <w:rPr>
          <w:sz w:val="24"/>
        </w:rPr>
      </w:pPr>
      <w:r>
        <w:rPr>
          <w:rFonts w:hint="eastAsia"/>
          <w:sz w:val="24"/>
        </w:rPr>
        <w:t>开户银行：</w:t>
      </w:r>
      <w:r>
        <w:rPr>
          <w:sz w:val="24"/>
        </w:rPr>
        <w:tab/>
      </w:r>
      <w:r>
        <w:rPr>
          <w:rFonts w:hint="eastAsia"/>
          <w:sz w:val="24"/>
        </w:rPr>
        <w:t>经办人（签字）：</w:t>
      </w:r>
    </w:p>
    <w:p>
      <w:pPr>
        <w:tabs>
          <w:tab w:val="left" w:pos="5340"/>
        </w:tabs>
        <w:ind w:firstLine="480"/>
        <w:rPr>
          <w:sz w:val="24"/>
        </w:rPr>
      </w:pPr>
      <w:r>
        <w:rPr>
          <w:rFonts w:hint="eastAsia"/>
          <w:sz w:val="24"/>
        </w:rPr>
        <w:t>账</w:t>
      </w:r>
      <w:r>
        <w:rPr>
          <w:rFonts w:hint="eastAsia"/>
          <w:sz w:val="24"/>
          <w:lang w:val="en-US" w:eastAsia="zh-CN"/>
        </w:rPr>
        <w:t xml:space="preserve"> </w:t>
      </w:r>
      <w:r>
        <w:rPr>
          <w:rFonts w:hint="eastAsia"/>
          <w:sz w:val="24"/>
        </w:rPr>
        <w:t>号：</w:t>
      </w:r>
      <w:r>
        <w:rPr>
          <w:sz w:val="24"/>
        </w:rPr>
        <w:tab/>
      </w:r>
      <w:r>
        <w:rPr>
          <w:rFonts w:hint="eastAsia"/>
          <w:sz w:val="24"/>
        </w:rPr>
        <w:t>经办人身份证号：</w:t>
      </w:r>
    </w:p>
    <w:p>
      <w:pPr>
        <w:tabs>
          <w:tab w:val="left" w:pos="5340"/>
        </w:tabs>
        <w:ind w:firstLine="480"/>
        <w:rPr>
          <w:sz w:val="24"/>
        </w:rPr>
      </w:pPr>
      <w:r>
        <w:rPr>
          <w:rFonts w:hint="eastAsia"/>
          <w:sz w:val="24"/>
        </w:rPr>
        <w:t>电</w:t>
      </w:r>
      <w:r>
        <w:rPr>
          <w:rFonts w:hint="eastAsia"/>
          <w:sz w:val="24"/>
          <w:lang w:val="en-US" w:eastAsia="zh-CN"/>
        </w:rPr>
        <w:t xml:space="preserve"> </w:t>
      </w:r>
      <w:r>
        <w:rPr>
          <w:rFonts w:hint="eastAsia"/>
          <w:sz w:val="24"/>
        </w:rPr>
        <w:t>话：</w:t>
      </w:r>
      <w:r>
        <w:rPr>
          <w:sz w:val="24"/>
        </w:rPr>
        <w:tab/>
      </w:r>
      <w:r>
        <w:rPr>
          <w:rFonts w:hint="eastAsia"/>
          <w:sz w:val="24"/>
        </w:rPr>
        <w:t>联系电话：</w:t>
      </w:r>
    </w:p>
    <w:p>
      <w:pPr>
        <w:tabs>
          <w:tab w:val="left" w:pos="5655"/>
        </w:tabs>
        <w:ind w:firstLine="720" w:firstLineChars="300"/>
        <w:rPr>
          <w:rFonts w:hint="eastAsia"/>
          <w:sz w:val="24"/>
        </w:rPr>
      </w:pPr>
    </w:p>
    <w:p>
      <w:pPr>
        <w:tabs>
          <w:tab w:val="left" w:pos="5655"/>
        </w:tabs>
        <w:ind w:firstLine="720" w:firstLineChars="30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ab/>
      </w:r>
      <w:r>
        <w:rPr>
          <w:rFonts w:hint="eastAsia"/>
          <w:sz w:val="24"/>
        </w:rPr>
        <w:t>年</w:t>
      </w:r>
      <w:r>
        <w:rPr>
          <w:sz w:val="24"/>
        </w:rPr>
        <w:t xml:space="preserve">    </w:t>
      </w:r>
      <w:r>
        <w:rPr>
          <w:rFonts w:hint="eastAsia"/>
          <w:sz w:val="24"/>
        </w:rPr>
        <w:t>月</w:t>
      </w:r>
      <w:r>
        <w:rPr>
          <w:sz w:val="24"/>
        </w:rPr>
        <w:t xml:space="preserve">    </w:t>
      </w:r>
      <w:r>
        <w:rPr>
          <w:rFonts w:hint="eastAsia"/>
          <w:sz w:val="24"/>
        </w:rPr>
        <w:t>日</w:t>
      </w:r>
    </w:p>
    <w:sectPr>
      <w:headerReference r:id="rId3" w:type="default"/>
      <w:footerReference r:id="rId4" w:type="default"/>
      <w:pgSz w:w="11906" w:h="16838"/>
      <w:pgMar w:top="1440" w:right="1800" w:bottom="1440" w:left="1800" w:header="737"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iti SC Medium">
    <w:altName w:val="hakuyoxingshu7000"/>
    <w:panose1 w:val="00000000000000000000"/>
    <w:charset w:val="80"/>
    <w:family w:val="auto"/>
    <w:pitch w:val="default"/>
    <w:sig w:usb0="00000000" w:usb1="00000000" w:usb2="00000010" w:usb3="00000000" w:csb0="003E0001" w:csb1="00000000"/>
  </w:font>
  <w:font w:name="Wingdings 2">
    <w:altName w:val="Wingdings"/>
    <w:panose1 w:val="05020102010507070707"/>
    <w:charset w:val="00"/>
    <w:family w:val="auto"/>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00" w:usb3="00000000" w:csb0="0004009F" w:csb1="DFD70000"/>
  </w:font>
  <w:font w:name="hakuyoxingshu7000">
    <w:panose1 w:val="02000600000000000000"/>
    <w:charset w:val="86"/>
    <w:family w:val="auto"/>
    <w:pitch w:val="default"/>
    <w:sig w:usb0="FFFFFFFF" w:usb1="E9FFFFFF" w:usb2="0000003F" w:usb3="00000000" w:csb0="603F00FF" w:csb1="FFFF0000"/>
  </w:font>
  <w:font w:name="hakuyoxingshu7000">
    <w:panose1 w:val="02000600000000000000"/>
    <w:charset w:val="80"/>
    <w:family w:val="auto"/>
    <w:pitch w:val="default"/>
    <w:sig w:usb0="FFFFFFFF" w:usb1="E9FFFFFF" w:usb2="0000003F" w:usb3="00000000" w:csb0="603F00FF" w:csb1="FFFF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Fonts w:ascii="华文仿宋" w:hAnsi="华文仿宋" w:eastAsia="华文仿宋"/>
        <w:u w:val="single"/>
      </w:rPr>
    </w:pPr>
    <w:r>
      <w:rPr>
        <w:rFonts w:ascii="华文仿宋" w:hAnsi="华文仿宋" w:eastAsia="华文仿宋"/>
      </w:rPr>
      <w:ptab w:relativeTo="margin" w:alignment="center" w:leader="none"/>
    </w:r>
    <w:r>
      <w:rPr>
        <w:rFonts w:ascii="华文仿宋" w:hAnsi="华文仿宋" w:eastAsia="华文仿宋"/>
      </w:rPr>
      <w:ptab w:relativeTo="margin" w:alignment="right" w:leader="none"/>
    </w:r>
    <w:r>
      <w:rPr>
        <w:rFonts w:ascii="华文仿宋" w:hAnsi="华文仿宋" w:eastAsia="华文仿宋"/>
      </w:rPr>
      <w:t xml:space="preserve">  </w:t>
    </w:r>
    <w:r>
      <w:rPr>
        <w:rFonts w:hint="eastAsia" w:ascii="华文仿宋" w:hAnsi="华文仿宋" w:eastAsia="华文仿宋"/>
        <w:u w:val="single"/>
        <w:lang w:eastAsia="zh-CN"/>
      </w:rPr>
      <w:t>济南鲁中水务集团有限</w:t>
    </w:r>
    <w:r>
      <w:rPr>
        <w:rFonts w:hint="eastAsia" w:ascii="华文仿宋" w:hAnsi="华文仿宋" w:eastAsia="华文仿宋"/>
        <w:u w:val="single"/>
      </w:rPr>
      <w:t>公司供用水合同</w:t>
    </w:r>
    <w:r>
      <w:rPr>
        <w:rFonts w:ascii="华文仿宋" w:hAnsi="华文仿宋" w:eastAsia="华文仿宋"/>
        <w:u w:val="single"/>
      </w:rPr>
      <w:t>v2.0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japaneseCounting"/>
      <w:lvlText w:val="（%1）"/>
      <w:lvlJc w:val="left"/>
      <w:pPr>
        <w:tabs>
          <w:tab w:val="left" w:pos="1080"/>
        </w:tabs>
        <w:ind w:left="1080" w:hanging="720"/>
      </w:pPr>
      <w:rPr>
        <w:rFonts w:hint="default" w:cs="Times New Roman"/>
      </w:rPr>
    </w:lvl>
    <w:lvl w:ilvl="1" w:tentative="0">
      <w:start w:val="1"/>
      <w:numFmt w:val="lowerLetter"/>
      <w:lvlText w:val="%2)"/>
      <w:lvlJc w:val="left"/>
      <w:pPr>
        <w:tabs>
          <w:tab w:val="left" w:pos="1200"/>
        </w:tabs>
        <w:ind w:left="1200" w:hanging="420"/>
      </w:pPr>
      <w:rPr>
        <w:rFonts w:cs="Times New Roman"/>
      </w:rPr>
    </w:lvl>
    <w:lvl w:ilvl="2" w:tentative="0">
      <w:start w:val="1"/>
      <w:numFmt w:val="lowerRoman"/>
      <w:lvlText w:val="%3."/>
      <w:lvlJc w:val="right"/>
      <w:pPr>
        <w:tabs>
          <w:tab w:val="left" w:pos="1620"/>
        </w:tabs>
        <w:ind w:left="1620" w:hanging="420"/>
      </w:pPr>
      <w:rPr>
        <w:rFonts w:cs="Times New Roman"/>
      </w:rPr>
    </w:lvl>
    <w:lvl w:ilvl="3" w:tentative="0">
      <w:start w:val="1"/>
      <w:numFmt w:val="decimal"/>
      <w:lvlText w:val="%4."/>
      <w:lvlJc w:val="left"/>
      <w:pPr>
        <w:tabs>
          <w:tab w:val="left" w:pos="2040"/>
        </w:tabs>
        <w:ind w:left="2040" w:hanging="420"/>
      </w:pPr>
      <w:rPr>
        <w:rFonts w:cs="Times New Roman"/>
      </w:rPr>
    </w:lvl>
    <w:lvl w:ilvl="4" w:tentative="0">
      <w:start w:val="1"/>
      <w:numFmt w:val="lowerLetter"/>
      <w:lvlText w:val="%5)"/>
      <w:lvlJc w:val="left"/>
      <w:pPr>
        <w:tabs>
          <w:tab w:val="left" w:pos="2460"/>
        </w:tabs>
        <w:ind w:left="2460" w:hanging="420"/>
      </w:pPr>
      <w:rPr>
        <w:rFonts w:cs="Times New Roman"/>
      </w:rPr>
    </w:lvl>
    <w:lvl w:ilvl="5" w:tentative="0">
      <w:start w:val="1"/>
      <w:numFmt w:val="lowerRoman"/>
      <w:lvlText w:val="%6."/>
      <w:lvlJc w:val="right"/>
      <w:pPr>
        <w:tabs>
          <w:tab w:val="left" w:pos="2880"/>
        </w:tabs>
        <w:ind w:left="2880" w:hanging="420"/>
      </w:pPr>
      <w:rPr>
        <w:rFonts w:cs="Times New Roman"/>
      </w:rPr>
    </w:lvl>
    <w:lvl w:ilvl="6" w:tentative="0">
      <w:start w:val="1"/>
      <w:numFmt w:val="decimal"/>
      <w:lvlText w:val="%7."/>
      <w:lvlJc w:val="left"/>
      <w:pPr>
        <w:tabs>
          <w:tab w:val="left" w:pos="3300"/>
        </w:tabs>
        <w:ind w:left="3300" w:hanging="420"/>
      </w:pPr>
      <w:rPr>
        <w:rFonts w:cs="Times New Roman"/>
      </w:rPr>
    </w:lvl>
    <w:lvl w:ilvl="7" w:tentative="0">
      <w:start w:val="1"/>
      <w:numFmt w:val="lowerLetter"/>
      <w:lvlText w:val="%8)"/>
      <w:lvlJc w:val="left"/>
      <w:pPr>
        <w:tabs>
          <w:tab w:val="left" w:pos="3720"/>
        </w:tabs>
        <w:ind w:left="3720" w:hanging="420"/>
      </w:pPr>
      <w:rPr>
        <w:rFonts w:cs="Times New Roman"/>
      </w:rPr>
    </w:lvl>
    <w:lvl w:ilvl="8" w:tentative="0">
      <w:start w:val="1"/>
      <w:numFmt w:val="lowerRoman"/>
      <w:lvlText w:val="%9."/>
      <w:lvlJc w:val="right"/>
      <w:pPr>
        <w:tabs>
          <w:tab w:val="left" w:pos="4140"/>
        </w:tabs>
        <w:ind w:left="4140" w:hanging="420"/>
      </w:pPr>
      <w:rPr>
        <w:rFonts w:cs="Times New Roman"/>
      </w:rPr>
    </w:lvl>
  </w:abstractNum>
  <w:abstractNum w:abstractNumId="1">
    <w:nsid w:val="0000000C"/>
    <w:multiLevelType w:val="multilevel"/>
    <w:tmpl w:val="0000000C"/>
    <w:lvl w:ilvl="0" w:tentative="0">
      <w:start w:val="7"/>
      <w:numFmt w:val="japaneseCounting"/>
      <w:lvlText w:val="（%1）"/>
      <w:lvlJc w:val="left"/>
      <w:pPr>
        <w:tabs>
          <w:tab w:val="left" w:pos="1080"/>
        </w:tabs>
        <w:ind w:left="1080" w:hanging="720"/>
      </w:pPr>
      <w:rPr>
        <w:rFonts w:hint="default" w:cs="Times New Roman"/>
      </w:rPr>
    </w:lvl>
    <w:lvl w:ilvl="1" w:tentative="0">
      <w:start w:val="1"/>
      <w:numFmt w:val="lowerLetter"/>
      <w:lvlText w:val="%2)"/>
      <w:lvlJc w:val="left"/>
      <w:pPr>
        <w:tabs>
          <w:tab w:val="left" w:pos="1200"/>
        </w:tabs>
        <w:ind w:left="1200" w:hanging="420"/>
      </w:pPr>
      <w:rPr>
        <w:rFonts w:cs="Times New Roman"/>
      </w:rPr>
    </w:lvl>
    <w:lvl w:ilvl="2" w:tentative="0">
      <w:start w:val="1"/>
      <w:numFmt w:val="lowerRoman"/>
      <w:lvlText w:val="%3."/>
      <w:lvlJc w:val="right"/>
      <w:pPr>
        <w:tabs>
          <w:tab w:val="left" w:pos="1620"/>
        </w:tabs>
        <w:ind w:left="1620" w:hanging="420"/>
      </w:pPr>
      <w:rPr>
        <w:rFonts w:cs="Times New Roman"/>
      </w:rPr>
    </w:lvl>
    <w:lvl w:ilvl="3" w:tentative="0">
      <w:start w:val="1"/>
      <w:numFmt w:val="decimal"/>
      <w:lvlText w:val="%4."/>
      <w:lvlJc w:val="left"/>
      <w:pPr>
        <w:tabs>
          <w:tab w:val="left" w:pos="2040"/>
        </w:tabs>
        <w:ind w:left="2040" w:hanging="420"/>
      </w:pPr>
      <w:rPr>
        <w:rFonts w:cs="Times New Roman"/>
      </w:rPr>
    </w:lvl>
    <w:lvl w:ilvl="4" w:tentative="0">
      <w:start w:val="1"/>
      <w:numFmt w:val="lowerLetter"/>
      <w:lvlText w:val="%5)"/>
      <w:lvlJc w:val="left"/>
      <w:pPr>
        <w:tabs>
          <w:tab w:val="left" w:pos="2460"/>
        </w:tabs>
        <w:ind w:left="2460" w:hanging="420"/>
      </w:pPr>
      <w:rPr>
        <w:rFonts w:cs="Times New Roman"/>
      </w:rPr>
    </w:lvl>
    <w:lvl w:ilvl="5" w:tentative="0">
      <w:start w:val="1"/>
      <w:numFmt w:val="lowerRoman"/>
      <w:lvlText w:val="%6."/>
      <w:lvlJc w:val="right"/>
      <w:pPr>
        <w:tabs>
          <w:tab w:val="left" w:pos="2880"/>
        </w:tabs>
        <w:ind w:left="2880" w:hanging="420"/>
      </w:pPr>
      <w:rPr>
        <w:rFonts w:cs="Times New Roman"/>
      </w:rPr>
    </w:lvl>
    <w:lvl w:ilvl="6" w:tentative="0">
      <w:start w:val="1"/>
      <w:numFmt w:val="decimal"/>
      <w:lvlText w:val="%7."/>
      <w:lvlJc w:val="left"/>
      <w:pPr>
        <w:tabs>
          <w:tab w:val="left" w:pos="3300"/>
        </w:tabs>
        <w:ind w:left="3300" w:hanging="420"/>
      </w:pPr>
      <w:rPr>
        <w:rFonts w:cs="Times New Roman"/>
      </w:rPr>
    </w:lvl>
    <w:lvl w:ilvl="7" w:tentative="0">
      <w:start w:val="1"/>
      <w:numFmt w:val="lowerLetter"/>
      <w:lvlText w:val="%8)"/>
      <w:lvlJc w:val="left"/>
      <w:pPr>
        <w:tabs>
          <w:tab w:val="left" w:pos="3720"/>
        </w:tabs>
        <w:ind w:left="3720" w:hanging="420"/>
      </w:pPr>
      <w:rPr>
        <w:rFonts w:cs="Times New Roman"/>
      </w:rPr>
    </w:lvl>
    <w:lvl w:ilvl="8" w:tentative="0">
      <w:start w:val="1"/>
      <w:numFmt w:val="lowerRoman"/>
      <w:lvlText w:val="%9."/>
      <w:lvlJc w:val="right"/>
      <w:pPr>
        <w:tabs>
          <w:tab w:val="left" w:pos="4140"/>
        </w:tabs>
        <w:ind w:left="4140" w:hanging="420"/>
      </w:pPr>
      <w:rPr>
        <w:rFonts w:cs="Times New Roman"/>
      </w:rPr>
    </w:lvl>
  </w:abstractNum>
  <w:abstractNum w:abstractNumId="2">
    <w:nsid w:val="0000000D"/>
    <w:multiLevelType w:val="multilevel"/>
    <w:tmpl w:val="0000000D"/>
    <w:lvl w:ilvl="0" w:tentative="0">
      <w:start w:val="1"/>
      <w:numFmt w:val="japaneseCounting"/>
      <w:lvlText w:val="第%1条"/>
      <w:lvlJc w:val="left"/>
      <w:pPr>
        <w:tabs>
          <w:tab w:val="left" w:pos="1322"/>
        </w:tabs>
        <w:ind w:left="1322" w:hanging="840"/>
      </w:pPr>
      <w:rPr>
        <w:rFonts w:hint="default" w:cs="Times New Roman"/>
      </w:rPr>
    </w:lvl>
    <w:lvl w:ilvl="1" w:tentative="0">
      <w:start w:val="1"/>
      <w:numFmt w:val="lowerLetter"/>
      <w:lvlText w:val="%2)"/>
      <w:lvlJc w:val="left"/>
      <w:pPr>
        <w:tabs>
          <w:tab w:val="left" w:pos="1322"/>
        </w:tabs>
        <w:ind w:left="1322" w:hanging="420"/>
      </w:pPr>
      <w:rPr>
        <w:rFonts w:cs="Times New Roman"/>
      </w:rPr>
    </w:lvl>
    <w:lvl w:ilvl="2" w:tentative="0">
      <w:start w:val="1"/>
      <w:numFmt w:val="lowerRoman"/>
      <w:lvlText w:val="%3."/>
      <w:lvlJc w:val="right"/>
      <w:pPr>
        <w:tabs>
          <w:tab w:val="left" w:pos="1742"/>
        </w:tabs>
        <w:ind w:left="1742" w:hanging="420"/>
      </w:pPr>
      <w:rPr>
        <w:rFonts w:cs="Times New Roman"/>
      </w:rPr>
    </w:lvl>
    <w:lvl w:ilvl="3" w:tentative="0">
      <w:start w:val="1"/>
      <w:numFmt w:val="decimal"/>
      <w:lvlText w:val="%4."/>
      <w:lvlJc w:val="left"/>
      <w:pPr>
        <w:tabs>
          <w:tab w:val="left" w:pos="2162"/>
        </w:tabs>
        <w:ind w:left="2162" w:hanging="420"/>
      </w:pPr>
      <w:rPr>
        <w:rFonts w:cs="Times New Roman"/>
      </w:rPr>
    </w:lvl>
    <w:lvl w:ilvl="4" w:tentative="0">
      <w:start w:val="1"/>
      <w:numFmt w:val="lowerLetter"/>
      <w:lvlText w:val="%5)"/>
      <w:lvlJc w:val="left"/>
      <w:pPr>
        <w:tabs>
          <w:tab w:val="left" w:pos="2582"/>
        </w:tabs>
        <w:ind w:left="2582" w:hanging="420"/>
      </w:pPr>
      <w:rPr>
        <w:rFonts w:cs="Times New Roman"/>
      </w:rPr>
    </w:lvl>
    <w:lvl w:ilvl="5" w:tentative="0">
      <w:start w:val="1"/>
      <w:numFmt w:val="lowerRoman"/>
      <w:lvlText w:val="%6."/>
      <w:lvlJc w:val="right"/>
      <w:pPr>
        <w:tabs>
          <w:tab w:val="left" w:pos="3002"/>
        </w:tabs>
        <w:ind w:left="3002" w:hanging="420"/>
      </w:pPr>
      <w:rPr>
        <w:rFonts w:cs="Times New Roman"/>
      </w:rPr>
    </w:lvl>
    <w:lvl w:ilvl="6" w:tentative="0">
      <w:start w:val="1"/>
      <w:numFmt w:val="decimal"/>
      <w:lvlText w:val="%7."/>
      <w:lvlJc w:val="left"/>
      <w:pPr>
        <w:tabs>
          <w:tab w:val="left" w:pos="3422"/>
        </w:tabs>
        <w:ind w:left="3422" w:hanging="420"/>
      </w:pPr>
      <w:rPr>
        <w:rFonts w:cs="Times New Roman"/>
      </w:rPr>
    </w:lvl>
    <w:lvl w:ilvl="7" w:tentative="0">
      <w:start w:val="1"/>
      <w:numFmt w:val="lowerLetter"/>
      <w:lvlText w:val="%8)"/>
      <w:lvlJc w:val="left"/>
      <w:pPr>
        <w:tabs>
          <w:tab w:val="left" w:pos="3842"/>
        </w:tabs>
        <w:ind w:left="3842" w:hanging="420"/>
      </w:pPr>
      <w:rPr>
        <w:rFonts w:cs="Times New Roman"/>
      </w:rPr>
    </w:lvl>
    <w:lvl w:ilvl="8" w:tentative="0">
      <w:start w:val="1"/>
      <w:numFmt w:val="lowerRoman"/>
      <w:lvlText w:val="%9."/>
      <w:lvlJc w:val="right"/>
      <w:pPr>
        <w:tabs>
          <w:tab w:val="left" w:pos="4262"/>
        </w:tabs>
        <w:ind w:left="4262" w:hanging="420"/>
      </w:pPr>
      <w:rPr>
        <w:rFonts w:cs="Times New Roman"/>
      </w:rPr>
    </w:lvl>
  </w:abstractNum>
  <w:abstractNum w:abstractNumId="3">
    <w:nsid w:val="0000000F"/>
    <w:multiLevelType w:val="multilevel"/>
    <w:tmpl w:val="0000000F"/>
    <w:lvl w:ilvl="0" w:tentative="0">
      <w:start w:val="1"/>
      <w:numFmt w:val="japaneseCounting"/>
      <w:lvlText w:val="（%1）"/>
      <w:lvlJc w:val="left"/>
      <w:pPr>
        <w:tabs>
          <w:tab w:val="left" w:pos="1080"/>
        </w:tabs>
        <w:ind w:left="1080" w:hanging="720"/>
      </w:pPr>
      <w:rPr>
        <w:rFonts w:hint="default" w:cs="Times New Roman"/>
      </w:rPr>
    </w:lvl>
    <w:lvl w:ilvl="1" w:tentative="0">
      <w:start w:val="4"/>
      <w:numFmt w:val="bullet"/>
      <w:lvlText w:val="□"/>
      <w:lvlJc w:val="left"/>
      <w:pPr>
        <w:tabs>
          <w:tab w:val="left" w:pos="1140"/>
        </w:tabs>
        <w:ind w:left="1140" w:hanging="360"/>
      </w:pPr>
      <w:rPr>
        <w:rFonts w:hint="eastAsia" w:ascii="宋体" w:hAnsi="宋体" w:eastAsia="宋体"/>
      </w:rPr>
    </w:lvl>
    <w:lvl w:ilvl="2" w:tentative="0">
      <w:start w:val="1"/>
      <w:numFmt w:val="lowerRoman"/>
      <w:lvlText w:val="%3."/>
      <w:lvlJc w:val="right"/>
      <w:pPr>
        <w:tabs>
          <w:tab w:val="left" w:pos="1620"/>
        </w:tabs>
        <w:ind w:left="1620" w:hanging="420"/>
      </w:pPr>
      <w:rPr>
        <w:rFonts w:cs="Times New Roman"/>
      </w:rPr>
    </w:lvl>
    <w:lvl w:ilvl="3" w:tentative="0">
      <w:start w:val="1"/>
      <w:numFmt w:val="decimal"/>
      <w:lvlText w:val="%4."/>
      <w:lvlJc w:val="left"/>
      <w:pPr>
        <w:tabs>
          <w:tab w:val="left" w:pos="2040"/>
        </w:tabs>
        <w:ind w:left="2040" w:hanging="420"/>
      </w:pPr>
      <w:rPr>
        <w:rFonts w:cs="Times New Roman"/>
      </w:rPr>
    </w:lvl>
    <w:lvl w:ilvl="4" w:tentative="0">
      <w:start w:val="1"/>
      <w:numFmt w:val="lowerLetter"/>
      <w:lvlText w:val="%5)"/>
      <w:lvlJc w:val="left"/>
      <w:pPr>
        <w:tabs>
          <w:tab w:val="left" w:pos="2460"/>
        </w:tabs>
        <w:ind w:left="2460" w:hanging="420"/>
      </w:pPr>
      <w:rPr>
        <w:rFonts w:cs="Times New Roman"/>
      </w:rPr>
    </w:lvl>
    <w:lvl w:ilvl="5" w:tentative="0">
      <w:start w:val="1"/>
      <w:numFmt w:val="lowerRoman"/>
      <w:lvlText w:val="%6."/>
      <w:lvlJc w:val="right"/>
      <w:pPr>
        <w:tabs>
          <w:tab w:val="left" w:pos="2880"/>
        </w:tabs>
        <w:ind w:left="2880" w:hanging="420"/>
      </w:pPr>
      <w:rPr>
        <w:rFonts w:cs="Times New Roman"/>
      </w:rPr>
    </w:lvl>
    <w:lvl w:ilvl="6" w:tentative="0">
      <w:start w:val="1"/>
      <w:numFmt w:val="decimal"/>
      <w:lvlText w:val="%7."/>
      <w:lvlJc w:val="left"/>
      <w:pPr>
        <w:tabs>
          <w:tab w:val="left" w:pos="3300"/>
        </w:tabs>
        <w:ind w:left="3300" w:hanging="420"/>
      </w:pPr>
      <w:rPr>
        <w:rFonts w:cs="Times New Roman"/>
      </w:rPr>
    </w:lvl>
    <w:lvl w:ilvl="7" w:tentative="0">
      <w:start w:val="1"/>
      <w:numFmt w:val="lowerLetter"/>
      <w:lvlText w:val="%8)"/>
      <w:lvlJc w:val="left"/>
      <w:pPr>
        <w:tabs>
          <w:tab w:val="left" w:pos="3720"/>
        </w:tabs>
        <w:ind w:left="3720" w:hanging="420"/>
      </w:pPr>
      <w:rPr>
        <w:rFonts w:cs="Times New Roman"/>
      </w:rPr>
    </w:lvl>
    <w:lvl w:ilvl="8" w:tentative="0">
      <w:start w:val="1"/>
      <w:numFmt w:val="lowerRoman"/>
      <w:lvlText w:val="%9."/>
      <w:lvlJc w:val="right"/>
      <w:pPr>
        <w:tabs>
          <w:tab w:val="left" w:pos="4140"/>
        </w:tabs>
        <w:ind w:left="4140" w:hanging="420"/>
      </w:pPr>
      <w:rPr>
        <w:rFonts w:cs="Times New Roman"/>
      </w:rPr>
    </w:lvl>
  </w:abstractNum>
  <w:abstractNum w:abstractNumId="4">
    <w:nsid w:val="00000015"/>
    <w:multiLevelType w:val="multilevel"/>
    <w:tmpl w:val="00000015"/>
    <w:lvl w:ilvl="0" w:tentative="0">
      <w:start w:val="1"/>
      <w:numFmt w:val="decimal"/>
      <w:lvlText w:val="%1、"/>
      <w:lvlJc w:val="left"/>
      <w:pPr>
        <w:tabs>
          <w:tab w:val="left" w:pos="720"/>
        </w:tabs>
        <w:ind w:left="720" w:hanging="360"/>
      </w:pPr>
      <w:rPr>
        <w:rFonts w:hint="default" w:cs="Times New Roman"/>
      </w:rPr>
    </w:lvl>
    <w:lvl w:ilvl="1" w:tentative="0">
      <w:start w:val="1"/>
      <w:numFmt w:val="lowerLetter"/>
      <w:lvlText w:val="%2)"/>
      <w:lvlJc w:val="left"/>
      <w:pPr>
        <w:tabs>
          <w:tab w:val="left" w:pos="1200"/>
        </w:tabs>
        <w:ind w:left="1200" w:hanging="420"/>
      </w:pPr>
      <w:rPr>
        <w:rFonts w:cs="Times New Roman"/>
      </w:rPr>
    </w:lvl>
    <w:lvl w:ilvl="2" w:tentative="0">
      <w:start w:val="1"/>
      <w:numFmt w:val="lowerRoman"/>
      <w:lvlText w:val="%3."/>
      <w:lvlJc w:val="right"/>
      <w:pPr>
        <w:tabs>
          <w:tab w:val="left" w:pos="1620"/>
        </w:tabs>
        <w:ind w:left="1620" w:hanging="420"/>
      </w:pPr>
      <w:rPr>
        <w:rFonts w:cs="Times New Roman"/>
      </w:rPr>
    </w:lvl>
    <w:lvl w:ilvl="3" w:tentative="0">
      <w:start w:val="1"/>
      <w:numFmt w:val="decimal"/>
      <w:lvlText w:val="%4."/>
      <w:lvlJc w:val="left"/>
      <w:pPr>
        <w:tabs>
          <w:tab w:val="left" w:pos="2040"/>
        </w:tabs>
        <w:ind w:left="2040" w:hanging="420"/>
      </w:pPr>
      <w:rPr>
        <w:rFonts w:cs="Times New Roman"/>
      </w:rPr>
    </w:lvl>
    <w:lvl w:ilvl="4" w:tentative="0">
      <w:start w:val="1"/>
      <w:numFmt w:val="lowerLetter"/>
      <w:lvlText w:val="%5)"/>
      <w:lvlJc w:val="left"/>
      <w:pPr>
        <w:tabs>
          <w:tab w:val="left" w:pos="2460"/>
        </w:tabs>
        <w:ind w:left="2460" w:hanging="420"/>
      </w:pPr>
      <w:rPr>
        <w:rFonts w:cs="Times New Roman"/>
      </w:rPr>
    </w:lvl>
    <w:lvl w:ilvl="5" w:tentative="0">
      <w:start w:val="1"/>
      <w:numFmt w:val="lowerRoman"/>
      <w:lvlText w:val="%6."/>
      <w:lvlJc w:val="right"/>
      <w:pPr>
        <w:tabs>
          <w:tab w:val="left" w:pos="2880"/>
        </w:tabs>
        <w:ind w:left="2880" w:hanging="420"/>
      </w:pPr>
      <w:rPr>
        <w:rFonts w:cs="Times New Roman"/>
      </w:rPr>
    </w:lvl>
    <w:lvl w:ilvl="6" w:tentative="0">
      <w:start w:val="1"/>
      <w:numFmt w:val="decimal"/>
      <w:lvlText w:val="%7."/>
      <w:lvlJc w:val="left"/>
      <w:pPr>
        <w:tabs>
          <w:tab w:val="left" w:pos="3300"/>
        </w:tabs>
        <w:ind w:left="3300" w:hanging="420"/>
      </w:pPr>
      <w:rPr>
        <w:rFonts w:cs="Times New Roman"/>
      </w:rPr>
    </w:lvl>
    <w:lvl w:ilvl="7" w:tentative="0">
      <w:start w:val="1"/>
      <w:numFmt w:val="lowerLetter"/>
      <w:lvlText w:val="%8)"/>
      <w:lvlJc w:val="left"/>
      <w:pPr>
        <w:tabs>
          <w:tab w:val="left" w:pos="3720"/>
        </w:tabs>
        <w:ind w:left="3720" w:hanging="420"/>
      </w:pPr>
      <w:rPr>
        <w:rFonts w:cs="Times New Roman"/>
      </w:rPr>
    </w:lvl>
    <w:lvl w:ilvl="8" w:tentative="0">
      <w:start w:val="1"/>
      <w:numFmt w:val="lowerRoman"/>
      <w:lvlText w:val="%9."/>
      <w:lvlJc w:val="right"/>
      <w:pPr>
        <w:tabs>
          <w:tab w:val="left" w:pos="4140"/>
        </w:tabs>
        <w:ind w:left="4140" w:hanging="420"/>
      </w:pPr>
      <w:rPr>
        <w:rFonts w:cs="Times New Roman"/>
      </w:rPr>
    </w:lvl>
  </w:abstractNum>
  <w:abstractNum w:abstractNumId="5">
    <w:nsid w:val="00000016"/>
    <w:multiLevelType w:val="multilevel"/>
    <w:tmpl w:val="00000016"/>
    <w:lvl w:ilvl="0" w:tentative="0">
      <w:start w:val="1"/>
      <w:numFmt w:val="japaneseCounting"/>
      <w:lvlText w:val="（%1）"/>
      <w:lvlJc w:val="left"/>
      <w:pPr>
        <w:tabs>
          <w:tab w:val="left" w:pos="1080"/>
        </w:tabs>
        <w:ind w:left="1080" w:hanging="720"/>
      </w:pPr>
      <w:rPr>
        <w:rFonts w:hint="default" w:cs="Times New Roman"/>
      </w:rPr>
    </w:lvl>
    <w:lvl w:ilvl="1" w:tentative="0">
      <w:start w:val="1"/>
      <w:numFmt w:val="decimal"/>
      <w:lvlText w:val="%2、"/>
      <w:lvlJc w:val="left"/>
      <w:pPr>
        <w:tabs>
          <w:tab w:val="left" w:pos="1140"/>
        </w:tabs>
        <w:ind w:left="1140" w:hanging="360"/>
      </w:pPr>
      <w:rPr>
        <w:rFonts w:hint="default" w:cs="Times New Roman"/>
      </w:rPr>
    </w:lvl>
    <w:lvl w:ilvl="2" w:tentative="0">
      <w:start w:val="1"/>
      <w:numFmt w:val="lowerRoman"/>
      <w:lvlText w:val="%3."/>
      <w:lvlJc w:val="right"/>
      <w:pPr>
        <w:tabs>
          <w:tab w:val="left" w:pos="1620"/>
        </w:tabs>
        <w:ind w:left="1620" w:hanging="420"/>
      </w:pPr>
      <w:rPr>
        <w:rFonts w:cs="Times New Roman"/>
      </w:rPr>
    </w:lvl>
    <w:lvl w:ilvl="3" w:tentative="0">
      <w:start w:val="1"/>
      <w:numFmt w:val="decimal"/>
      <w:lvlText w:val="%4."/>
      <w:lvlJc w:val="left"/>
      <w:pPr>
        <w:tabs>
          <w:tab w:val="left" w:pos="2040"/>
        </w:tabs>
        <w:ind w:left="2040" w:hanging="420"/>
      </w:pPr>
      <w:rPr>
        <w:rFonts w:cs="Times New Roman"/>
      </w:rPr>
    </w:lvl>
    <w:lvl w:ilvl="4" w:tentative="0">
      <w:start w:val="1"/>
      <w:numFmt w:val="lowerLetter"/>
      <w:lvlText w:val="%5)"/>
      <w:lvlJc w:val="left"/>
      <w:pPr>
        <w:tabs>
          <w:tab w:val="left" w:pos="2460"/>
        </w:tabs>
        <w:ind w:left="2460" w:hanging="420"/>
      </w:pPr>
      <w:rPr>
        <w:rFonts w:cs="Times New Roman"/>
      </w:rPr>
    </w:lvl>
    <w:lvl w:ilvl="5" w:tentative="0">
      <w:start w:val="1"/>
      <w:numFmt w:val="lowerRoman"/>
      <w:lvlText w:val="%6."/>
      <w:lvlJc w:val="right"/>
      <w:pPr>
        <w:tabs>
          <w:tab w:val="left" w:pos="2880"/>
        </w:tabs>
        <w:ind w:left="2880" w:hanging="420"/>
      </w:pPr>
      <w:rPr>
        <w:rFonts w:cs="Times New Roman"/>
      </w:rPr>
    </w:lvl>
    <w:lvl w:ilvl="6" w:tentative="0">
      <w:start w:val="1"/>
      <w:numFmt w:val="decimal"/>
      <w:lvlText w:val="%7."/>
      <w:lvlJc w:val="left"/>
      <w:pPr>
        <w:tabs>
          <w:tab w:val="left" w:pos="3300"/>
        </w:tabs>
        <w:ind w:left="3300" w:hanging="420"/>
      </w:pPr>
      <w:rPr>
        <w:rFonts w:cs="Times New Roman"/>
      </w:rPr>
    </w:lvl>
    <w:lvl w:ilvl="7" w:tentative="0">
      <w:start w:val="1"/>
      <w:numFmt w:val="lowerLetter"/>
      <w:lvlText w:val="%8)"/>
      <w:lvlJc w:val="left"/>
      <w:pPr>
        <w:tabs>
          <w:tab w:val="left" w:pos="3720"/>
        </w:tabs>
        <w:ind w:left="3720" w:hanging="420"/>
      </w:pPr>
      <w:rPr>
        <w:rFonts w:cs="Times New Roman"/>
      </w:rPr>
    </w:lvl>
    <w:lvl w:ilvl="8" w:tentative="0">
      <w:start w:val="1"/>
      <w:numFmt w:val="lowerRoman"/>
      <w:lvlText w:val="%9."/>
      <w:lvlJc w:val="right"/>
      <w:pPr>
        <w:tabs>
          <w:tab w:val="left" w:pos="4140"/>
        </w:tabs>
        <w:ind w:left="4140" w:hanging="420"/>
      </w:pPr>
      <w:rPr>
        <w:rFonts w:cs="Times New Roman"/>
      </w:rPr>
    </w:lvl>
  </w:abstractNum>
  <w:abstractNum w:abstractNumId="6">
    <w:nsid w:val="685ECFC5"/>
    <w:multiLevelType w:val="singleLevel"/>
    <w:tmpl w:val="685ECFC5"/>
    <w:lvl w:ilvl="0" w:tentative="0">
      <w:start w:val="4"/>
      <w:numFmt w:val="chineseCounting"/>
      <w:suff w:val="nothing"/>
      <w:lvlText w:val="（%1）"/>
      <w:lvlJc w:val="left"/>
      <w:rPr>
        <w:rFonts w:hint="eastAsia"/>
      </w:rPr>
    </w:lvl>
  </w:abstractNum>
  <w:num w:numId="1">
    <w:abstractNumId w:val="2"/>
  </w:num>
  <w:num w:numId="2">
    <w:abstractNumId w:val="6"/>
  </w:num>
  <w:num w:numId="3">
    <w:abstractNumId w:val="0"/>
  </w:num>
  <w:num w:numId="4">
    <w:abstractNumId w:val="1"/>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122B"/>
    <w:rsid w:val="00046726"/>
    <w:rsid w:val="000F7A48"/>
    <w:rsid w:val="0014331B"/>
    <w:rsid w:val="0015673A"/>
    <w:rsid w:val="00172A27"/>
    <w:rsid w:val="00190C3F"/>
    <w:rsid w:val="001B2B1E"/>
    <w:rsid w:val="0024137A"/>
    <w:rsid w:val="002543BB"/>
    <w:rsid w:val="0029794C"/>
    <w:rsid w:val="0039183A"/>
    <w:rsid w:val="004658B9"/>
    <w:rsid w:val="004B43AB"/>
    <w:rsid w:val="004D2BAC"/>
    <w:rsid w:val="00660A3F"/>
    <w:rsid w:val="00680285"/>
    <w:rsid w:val="00767E06"/>
    <w:rsid w:val="007D3B5B"/>
    <w:rsid w:val="00872FAB"/>
    <w:rsid w:val="00894F2E"/>
    <w:rsid w:val="0090029C"/>
    <w:rsid w:val="00911690"/>
    <w:rsid w:val="00982CEC"/>
    <w:rsid w:val="009A349E"/>
    <w:rsid w:val="009C6F8F"/>
    <w:rsid w:val="009D6A0D"/>
    <w:rsid w:val="00AA197F"/>
    <w:rsid w:val="00C073BF"/>
    <w:rsid w:val="00C432D2"/>
    <w:rsid w:val="00CA57D5"/>
    <w:rsid w:val="00DA4616"/>
    <w:rsid w:val="00E031D9"/>
    <w:rsid w:val="00E34401"/>
    <w:rsid w:val="00EA1419"/>
    <w:rsid w:val="00EB5CA7"/>
    <w:rsid w:val="00EE4798"/>
    <w:rsid w:val="00F3292B"/>
    <w:rsid w:val="00F700C9"/>
    <w:rsid w:val="00FB5C14"/>
    <w:rsid w:val="028A4315"/>
    <w:rsid w:val="034C6EC6"/>
    <w:rsid w:val="0BD01228"/>
    <w:rsid w:val="0E6636C4"/>
    <w:rsid w:val="111B2871"/>
    <w:rsid w:val="16AD4CFD"/>
    <w:rsid w:val="17F91CFB"/>
    <w:rsid w:val="1E086B6B"/>
    <w:rsid w:val="2073439A"/>
    <w:rsid w:val="273A784B"/>
    <w:rsid w:val="279543FC"/>
    <w:rsid w:val="29900860"/>
    <w:rsid w:val="31210544"/>
    <w:rsid w:val="33932A34"/>
    <w:rsid w:val="38190EC6"/>
    <w:rsid w:val="3A61642E"/>
    <w:rsid w:val="3D310457"/>
    <w:rsid w:val="3E7B6636"/>
    <w:rsid w:val="40BC353C"/>
    <w:rsid w:val="43FC1BFA"/>
    <w:rsid w:val="52B66536"/>
    <w:rsid w:val="59FC02A9"/>
    <w:rsid w:val="5AF06A7E"/>
    <w:rsid w:val="5B1962B1"/>
    <w:rsid w:val="623F0496"/>
    <w:rsid w:val="68835F30"/>
    <w:rsid w:val="70FE0705"/>
    <w:rsid w:val="74572E23"/>
    <w:rsid w:val="76B728A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rFonts w:ascii="宋体"/>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kern w:val="2"/>
      <w:sz w:val="18"/>
      <w:szCs w:val="18"/>
    </w:rPr>
  </w:style>
  <w:style w:type="character" w:customStyle="1" w:styleId="9">
    <w:name w:val="页脚 字符"/>
    <w:basedOn w:val="7"/>
    <w:link w:val="3"/>
    <w:qFormat/>
    <w:uiPriority w:val="99"/>
    <w:rPr>
      <w:kern w:val="2"/>
      <w:sz w:val="18"/>
      <w:szCs w:val="18"/>
    </w:rPr>
  </w:style>
  <w:style w:type="character" w:customStyle="1" w:styleId="10">
    <w:name w:val="批注框文本 字符"/>
    <w:basedOn w:val="7"/>
    <w:link w:val="2"/>
    <w:qFormat/>
    <w:uiPriority w:val="0"/>
    <w:rPr>
      <w:rFonts w:ascii="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876D7F-7377-A742-8EB0-484B88A47B02}">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717</Words>
  <Characters>4087</Characters>
  <Lines>34</Lines>
  <Paragraphs>9</Paragraphs>
  <TotalTime>7</TotalTime>
  <ScaleCrop>false</ScaleCrop>
  <LinksUpToDate>false</LinksUpToDate>
  <CharactersWithSpaces>4795</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2018-05-30T02:50:00Z</dcterms:created>
  <dc:creator>User</dc:creator>
  <cp:lastModifiedBy>Administrator</cp:lastModifiedBy>
  <cp:lastPrinted>2019-07-18T09:26:00Z</cp:lastPrinted>
  <dcterms:modified xsi:type="dcterms:W3CDTF">2021-04-30T02:52:08Z</dcterms:modified>
  <dc:title>莱芜市自来水公司供用水合同v2.0</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